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E68" w:rsidRDefault="00156242">
      <w:pPr>
        <w:spacing w:before="120" w:after="0" w:line="240" w:lineRule="auto"/>
        <w:jc w:val="center"/>
      </w:pPr>
      <w:r>
        <w:rPr>
          <w:rFonts w:ascii="Trebuchet MS" w:eastAsia="Times New Roman" w:hAnsi="Trebuchet MS" w:cs="Arial"/>
          <w:b/>
          <w:bCs/>
          <w:sz w:val="24"/>
          <w:szCs w:val="18"/>
          <w:shd w:val="clear" w:color="auto" w:fill="FFFFFF"/>
        </w:rPr>
        <w:t xml:space="preserve">Study of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  <w:shd w:val="clear" w:color="auto" w:fill="FFFFFF"/>
        </w:rPr>
        <w:t>ionomer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  <w:shd w:val="clear" w:color="auto" w:fill="FFFFFF"/>
        </w:rPr>
        <w:t xml:space="preserve">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  <w:shd w:val="clear" w:color="auto" w:fill="FFFFFF"/>
        </w:rPr>
        <w:t>adsortion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  <w:shd w:val="clear" w:color="auto" w:fill="FFFFFF"/>
        </w:rPr>
        <w:t xml:space="preserve"> on </w:t>
      </w:r>
      <w:proofErr w:type="spellStart"/>
      <w:r>
        <w:rPr>
          <w:rFonts w:ascii="Trebuchet MS" w:eastAsia="Times New Roman" w:hAnsi="Trebuchet MS" w:cs="Arial"/>
          <w:b/>
          <w:bCs/>
          <w:sz w:val="24"/>
          <w:szCs w:val="18"/>
          <w:shd w:val="clear" w:color="auto" w:fill="FFFFFF"/>
        </w:rPr>
        <w:t>monocrystalline</w:t>
      </w:r>
      <w:proofErr w:type="spellEnd"/>
      <w:r>
        <w:rPr>
          <w:rFonts w:ascii="Trebuchet MS" w:eastAsia="Times New Roman" w:hAnsi="Trebuchet MS" w:cs="Arial"/>
          <w:b/>
          <w:bCs/>
          <w:sz w:val="24"/>
          <w:szCs w:val="18"/>
          <w:shd w:val="clear" w:color="auto" w:fill="FFFFFF"/>
        </w:rPr>
        <w:t xml:space="preserve"> surfaces and its effects on reactions related to fuel cells</w:t>
      </w:r>
    </w:p>
    <w:p w:rsidR="008D4E68" w:rsidRDefault="008D4E68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</w:rPr>
      </w:pPr>
    </w:p>
    <w:p w:rsidR="008D4E68" w:rsidRPr="008A3D17" w:rsidRDefault="00156242">
      <w:pPr>
        <w:spacing w:after="0" w:line="240" w:lineRule="auto"/>
        <w:jc w:val="center"/>
        <w:rPr>
          <w:lang w:val="es-ES"/>
        </w:rPr>
      </w:pPr>
      <w:r w:rsidRPr="008A3D17">
        <w:rPr>
          <w:rFonts w:ascii="Trebuchet MS" w:eastAsia="Times New Roman" w:hAnsi="Trebuchet MS" w:cs="Arial"/>
          <w:sz w:val="20"/>
          <w:szCs w:val="16"/>
          <w:u w:val="single"/>
          <w:lang w:val="es-ES"/>
        </w:rPr>
        <w:t xml:space="preserve">Victoria Gámez </w:t>
      </w:r>
      <w:r w:rsidRPr="008A3D17">
        <w:rPr>
          <w:rFonts w:ascii="Trebuchet MS" w:eastAsia="Times New Roman" w:hAnsi="Trebuchet MS" w:cs="Arial"/>
          <w:sz w:val="20"/>
          <w:szCs w:val="16"/>
          <w:vertAlign w:val="superscript"/>
          <w:lang w:val="es-ES"/>
        </w:rPr>
        <w:t xml:space="preserve">a,* </w:t>
      </w:r>
      <w:r w:rsidRPr="008A3D17">
        <w:rPr>
          <w:rFonts w:ascii="Trebuchet MS" w:eastAsia="Times New Roman" w:hAnsi="Trebuchet MS" w:cs="Arial"/>
          <w:sz w:val="20"/>
          <w:szCs w:val="16"/>
          <w:lang w:val="es-ES"/>
        </w:rPr>
        <w:t>Rosa M. Arán-</w:t>
      </w:r>
      <w:proofErr w:type="spellStart"/>
      <w:r w:rsidRPr="008A3D17">
        <w:rPr>
          <w:rFonts w:ascii="Trebuchet MS" w:eastAsia="Times New Roman" w:hAnsi="Trebuchet MS" w:cs="Arial"/>
          <w:sz w:val="20"/>
          <w:szCs w:val="16"/>
          <w:lang w:val="es-ES"/>
        </w:rPr>
        <w:t>Ais</w:t>
      </w:r>
      <w:proofErr w:type="spellEnd"/>
      <w:r w:rsidRPr="008A3D17">
        <w:rPr>
          <w:rFonts w:ascii="Trebuchet MS" w:eastAsia="Times New Roman" w:hAnsi="Trebuchet MS" w:cs="Times New Roman"/>
          <w:iCs/>
          <w:sz w:val="18"/>
          <w:szCs w:val="18"/>
          <w:vertAlign w:val="superscript"/>
          <w:lang w:val="es-ES"/>
        </w:rPr>
        <w:t xml:space="preserve"> a </w:t>
      </w:r>
      <w:r w:rsidRPr="008A3D17">
        <w:rPr>
          <w:rFonts w:ascii="Trebuchet MS" w:eastAsia="Times New Roman" w:hAnsi="Trebuchet MS" w:cs="Arial"/>
          <w:sz w:val="20"/>
          <w:szCs w:val="16"/>
          <w:lang w:val="es-ES"/>
        </w:rPr>
        <w:t xml:space="preserve">Víctor </w:t>
      </w:r>
      <w:proofErr w:type="spellStart"/>
      <w:r w:rsidRPr="008A3D17">
        <w:rPr>
          <w:rFonts w:ascii="Trebuchet MS" w:eastAsia="Times New Roman" w:hAnsi="Trebuchet MS" w:cs="Arial"/>
          <w:sz w:val="20"/>
          <w:szCs w:val="16"/>
          <w:lang w:val="es-ES"/>
        </w:rPr>
        <w:t>Climent</w:t>
      </w:r>
      <w:proofErr w:type="spellEnd"/>
      <w:r w:rsidRPr="008A3D17">
        <w:rPr>
          <w:rFonts w:ascii="Trebuchet MS" w:eastAsia="Times New Roman" w:hAnsi="Trebuchet MS" w:cs="Times New Roman"/>
          <w:iCs/>
          <w:sz w:val="18"/>
          <w:szCs w:val="18"/>
          <w:vertAlign w:val="superscript"/>
          <w:lang w:val="es-ES"/>
        </w:rPr>
        <w:t xml:space="preserve"> a</w:t>
      </w:r>
      <w:r w:rsidRPr="008A3D17">
        <w:rPr>
          <w:rFonts w:ascii="Trebuchet MS" w:eastAsia="Times New Roman" w:hAnsi="Trebuchet MS" w:cs="Arial"/>
          <w:sz w:val="20"/>
          <w:szCs w:val="16"/>
          <w:lang w:val="es-ES"/>
        </w:rPr>
        <w:t xml:space="preserve"> </w:t>
      </w:r>
    </w:p>
    <w:p w:rsidR="008D4E68" w:rsidRPr="008A3D17" w:rsidRDefault="008D4E68">
      <w:pPr>
        <w:spacing w:after="0" w:line="240" w:lineRule="auto"/>
        <w:jc w:val="both"/>
        <w:rPr>
          <w:rFonts w:ascii="Trebuchet MS" w:eastAsia="Times New Roman" w:hAnsi="Trebuchet MS" w:cs="Times New Roman"/>
          <w:szCs w:val="18"/>
          <w:lang w:val="es-ES"/>
        </w:rPr>
      </w:pPr>
    </w:p>
    <w:p w:rsidR="008D4E68" w:rsidRPr="008A3D17" w:rsidRDefault="008A3D17">
      <w:pPr>
        <w:spacing w:after="0" w:line="240" w:lineRule="auto"/>
        <w:jc w:val="center"/>
        <w:rPr>
          <w:lang w:val="es-ES"/>
        </w:rPr>
      </w:pPr>
      <w:r>
        <w:rPr>
          <w:rFonts w:ascii="Trebuchet MS" w:eastAsia="Times New Roman" w:hAnsi="Trebuchet MS" w:cs="Times New Roman"/>
          <w:iCs/>
          <w:sz w:val="18"/>
          <w:szCs w:val="18"/>
          <w:vertAlign w:val="superscript"/>
          <w:lang w:val="es-ES"/>
        </w:rPr>
        <w:t>a</w:t>
      </w:r>
      <w:r w:rsidR="00156242" w:rsidRPr="008A3D17">
        <w:rPr>
          <w:rFonts w:ascii="Trebuchet MS" w:eastAsia="Times New Roman" w:hAnsi="Trebuchet MS" w:cs="Times New Roman"/>
          <w:iCs/>
          <w:sz w:val="18"/>
          <w:szCs w:val="18"/>
          <w:lang w:val="es-ES"/>
        </w:rPr>
        <w:t xml:space="preserve"> Instituto de Electroquímica, Universidad de Alicante, Ap. 99, E-03080 Alicante, España</w:t>
      </w:r>
    </w:p>
    <w:p w:rsidR="008D4E68" w:rsidRPr="000336FC" w:rsidRDefault="000336FC" w:rsidP="000336FC">
      <w:pPr>
        <w:spacing w:after="0" w:line="240" w:lineRule="auto"/>
        <w:jc w:val="center"/>
      </w:pPr>
      <w:r>
        <w:rPr>
          <w:rFonts w:ascii="Trebuchet MS" w:eastAsia="Times New Roman" w:hAnsi="Trebuchet MS" w:cs="Times New Roman"/>
          <w:iCs/>
          <w:sz w:val="18"/>
          <w:szCs w:val="18"/>
        </w:rPr>
        <w:t>*vggg4@alu.ua.es</w:t>
      </w:r>
    </w:p>
    <w:p w:rsidR="008D4E68" w:rsidRDefault="00156242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18"/>
        </w:rPr>
      </w:pPr>
      <w:r>
        <w:rPr>
          <w:rFonts w:ascii="Trebuchet MS" w:eastAsia="Times New Roman" w:hAnsi="Trebuchet MS" w:cs="Times New Roman"/>
          <w:b/>
          <w:sz w:val="20"/>
          <w:szCs w:val="18"/>
        </w:rPr>
        <w:t>Abstract</w:t>
      </w:r>
    </w:p>
    <w:p w:rsidR="008D4E68" w:rsidRDefault="008D4E68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</w:rPr>
      </w:pPr>
    </w:p>
    <w:p w:rsidR="008D4E68" w:rsidRDefault="00156242">
      <w:pPr>
        <w:spacing w:after="0" w:line="240" w:lineRule="auto"/>
        <w:ind w:right="49"/>
        <w:jc w:val="both"/>
      </w:pPr>
      <w:r>
        <w:rPr>
          <w:rFonts w:ascii="Trebuchet MS" w:eastAsia="Times New Roman" w:hAnsi="Trebuchet MS" w:cs="Times New Roman"/>
          <w:sz w:val="20"/>
          <w:szCs w:val="18"/>
        </w:rPr>
        <w:t>Proton-exchange membrane fuel cells (PEMFC) are electric energy producing devices</w:t>
      </w:r>
      <w:r w:rsidR="006676E1" w:rsidRPr="00D40185">
        <w:rPr>
          <w:rFonts w:ascii="Trebuchet MS" w:eastAsia="Times New Roman" w:hAnsi="Trebuchet MS" w:cs="Times New Roman"/>
          <w:sz w:val="20"/>
          <w:szCs w:val="18"/>
        </w:rPr>
        <w:t>,</w:t>
      </w:r>
      <w:r w:rsidR="002E286A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3C429F">
        <w:rPr>
          <w:rFonts w:ascii="Trebuchet MS" w:eastAsia="Times New Roman" w:hAnsi="Trebuchet MS" w:cs="Times New Roman"/>
          <w:sz w:val="20"/>
          <w:szCs w:val="18"/>
        </w:rPr>
        <w:t xml:space="preserve">most typically fed with </w:t>
      </w:r>
      <w:r w:rsidR="002E286A">
        <w:rPr>
          <w:rFonts w:ascii="Trebuchet MS" w:eastAsia="Times New Roman" w:hAnsi="Trebuchet MS" w:cs="Times New Roman"/>
          <w:sz w:val="20"/>
          <w:szCs w:val="18"/>
        </w:rPr>
        <w:t>O</w:t>
      </w:r>
      <w:r w:rsidR="002E286A">
        <w:rPr>
          <w:rFonts w:ascii="Trebuchet MS" w:eastAsia="Times New Roman" w:hAnsi="Trebuchet MS" w:cs="Times New Roman"/>
          <w:sz w:val="20"/>
          <w:szCs w:val="18"/>
          <w:vertAlign w:val="subscript"/>
        </w:rPr>
        <w:t>2</w:t>
      </w:r>
      <w:r w:rsidR="002E286A">
        <w:rPr>
          <w:rFonts w:ascii="Trebuchet MS" w:eastAsia="Times New Roman" w:hAnsi="Trebuchet MS" w:cs="Times New Roman"/>
          <w:sz w:val="20"/>
          <w:szCs w:val="18"/>
        </w:rPr>
        <w:t xml:space="preserve"> and H</w:t>
      </w:r>
      <w:r w:rsidR="002E286A">
        <w:rPr>
          <w:rFonts w:ascii="Trebuchet MS" w:eastAsia="Times New Roman" w:hAnsi="Trebuchet MS" w:cs="Times New Roman"/>
          <w:sz w:val="20"/>
          <w:szCs w:val="18"/>
          <w:vertAlign w:val="subscript"/>
        </w:rPr>
        <w:t>2</w:t>
      </w:r>
      <w:r w:rsidR="002E286A">
        <w:rPr>
          <w:rFonts w:ascii="Trebuchet MS" w:eastAsia="Times New Roman" w:hAnsi="Trebuchet MS" w:cs="Times New Roman"/>
          <w:sz w:val="20"/>
          <w:szCs w:val="18"/>
        </w:rPr>
        <w:t xml:space="preserve">.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The key element of the PEMFC is a polymer electrolyte membrane, which </w:t>
      </w:r>
      <w:proofErr w:type="gramStart"/>
      <w:r>
        <w:rPr>
          <w:rFonts w:ascii="Trebuchet MS" w:eastAsia="Times New Roman" w:hAnsi="Trebuchet MS" w:cs="Times New Roman"/>
          <w:sz w:val="20"/>
          <w:szCs w:val="18"/>
        </w:rPr>
        <w:t>conduces</w:t>
      </w:r>
      <w:proofErr w:type="gramEnd"/>
      <w:r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2E286A">
        <w:rPr>
          <w:rFonts w:ascii="Trebuchet MS" w:eastAsia="Times New Roman" w:hAnsi="Trebuchet MS" w:cs="Times New Roman"/>
          <w:sz w:val="20"/>
          <w:szCs w:val="18"/>
        </w:rPr>
        <w:t xml:space="preserve">protons from the anode </w:t>
      </w:r>
      <w:r>
        <w:rPr>
          <w:rFonts w:ascii="Trebuchet MS" w:eastAsia="Times New Roman" w:hAnsi="Trebuchet MS" w:cs="Times New Roman"/>
          <w:sz w:val="20"/>
          <w:szCs w:val="18"/>
        </w:rPr>
        <w:t>to the cathode</w:t>
      </w:r>
      <w:r w:rsidR="006676E1">
        <w:rPr>
          <w:rFonts w:ascii="Trebuchet MS" w:eastAsia="Times New Roman" w:hAnsi="Trebuchet MS" w:cs="Times New Roman"/>
          <w:sz w:val="20"/>
          <w:szCs w:val="18"/>
        </w:rPr>
        <w:t>.</w:t>
      </w:r>
      <w:r w:rsidR="002E286A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Both 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electrodes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are composed of </w:t>
      </w:r>
      <w:r w:rsidR="002E286A">
        <w:rPr>
          <w:rFonts w:ascii="Trebuchet MS" w:eastAsia="Times New Roman" w:hAnsi="Trebuchet MS" w:cs="Times New Roman"/>
          <w:sz w:val="20"/>
          <w:szCs w:val="18"/>
        </w:rPr>
        <w:t>an active layer</w:t>
      </w:r>
      <w:r w:rsidR="003C429F">
        <w:rPr>
          <w:rFonts w:ascii="Trebuchet MS" w:eastAsia="Times New Roman" w:hAnsi="Trebuchet MS" w:cs="Times New Roman"/>
          <w:sz w:val="20"/>
          <w:szCs w:val="18"/>
        </w:rPr>
        <w:t>,</w:t>
      </w:r>
      <w:r w:rsidR="002E286A">
        <w:rPr>
          <w:rFonts w:ascii="Trebuchet MS" w:eastAsia="Times New Roman" w:hAnsi="Trebuchet MS" w:cs="Times New Roman"/>
          <w:sz w:val="20"/>
          <w:szCs w:val="18"/>
        </w:rPr>
        <w:t xml:space="preserve"> usually of Pt or </w:t>
      </w:r>
      <w:r w:rsidR="003C429F">
        <w:rPr>
          <w:rFonts w:ascii="Trebuchet MS" w:eastAsia="Times New Roman" w:hAnsi="Trebuchet MS" w:cs="Times New Roman"/>
          <w:sz w:val="20"/>
          <w:szCs w:val="18"/>
        </w:rPr>
        <w:t xml:space="preserve">related </w:t>
      </w:r>
      <w:r w:rsidR="002E286A">
        <w:rPr>
          <w:rFonts w:ascii="Trebuchet MS" w:eastAsia="Times New Roman" w:hAnsi="Trebuchet MS" w:cs="Times New Roman"/>
          <w:sz w:val="20"/>
          <w:szCs w:val="18"/>
        </w:rPr>
        <w:t>alloys</w:t>
      </w:r>
      <w:r w:rsidR="003C429F">
        <w:rPr>
          <w:rFonts w:ascii="Trebuchet MS" w:eastAsia="Times New Roman" w:hAnsi="Trebuchet MS" w:cs="Times New Roman"/>
          <w:sz w:val="20"/>
          <w:szCs w:val="18"/>
        </w:rPr>
        <w:t>,</w:t>
      </w:r>
      <w:r>
        <w:rPr>
          <w:rFonts w:ascii="Trebuchet MS" w:eastAsia="Times New Roman" w:hAnsi="Trebuchet MS" w:cs="Times New Roman"/>
          <w:sz w:val="20"/>
          <w:szCs w:val="18"/>
        </w:rPr>
        <w:t xml:space="preserve"> in direct contact with the membrane.</w:t>
      </w:r>
      <w:r w:rsidR="001C0A4A">
        <w:t xml:space="preserve">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A particular type of PEMFC uses </w:t>
      </w:r>
      <w:proofErr w:type="spellStart"/>
      <w:r>
        <w:rPr>
          <w:rFonts w:ascii="Trebuchet MS" w:eastAsia="Times New Roman" w:hAnsi="Trebuchet MS" w:cs="Times New Roman"/>
          <w:i/>
          <w:iCs/>
          <w:sz w:val="20"/>
          <w:szCs w:val="18"/>
        </w:rPr>
        <w:t>Nafion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® </w:t>
      </w:r>
      <w:r w:rsidR="003C429F">
        <w:rPr>
          <w:rFonts w:ascii="Trebuchet MS" w:eastAsia="Times New Roman" w:hAnsi="Trebuchet MS" w:cs="Times New Roman"/>
          <w:sz w:val="20"/>
          <w:szCs w:val="18"/>
        </w:rPr>
        <w:t xml:space="preserve">membranes </w:t>
      </w:r>
      <w:r>
        <w:rPr>
          <w:rFonts w:ascii="Trebuchet MS" w:eastAsia="Times New Roman" w:hAnsi="Trebuchet MS" w:cs="Times New Roman"/>
          <w:sz w:val="20"/>
          <w:szCs w:val="18"/>
        </w:rPr>
        <w:t>(</w:t>
      </w:r>
      <w:r w:rsidR="003C429F">
        <w:rPr>
          <w:rFonts w:ascii="Trebuchet MS" w:eastAsia="Times New Roman" w:hAnsi="Trebuchet MS" w:cs="Times New Roman"/>
          <w:sz w:val="20"/>
          <w:szCs w:val="18"/>
        </w:rPr>
        <w:t xml:space="preserve">a polymer based on </w:t>
      </w:r>
      <w:proofErr w:type="spellStart"/>
      <w:r>
        <w:rPr>
          <w:rFonts w:ascii="Trebuchet MS" w:eastAsia="Times New Roman" w:hAnsi="Trebuchet MS" w:cs="Times New Roman"/>
          <w:sz w:val="20"/>
          <w:szCs w:val="18"/>
        </w:rPr>
        <w:t>perfluorsulphonic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 acid, PFSA). </w:t>
      </w:r>
      <w:proofErr w:type="spellStart"/>
      <w:r>
        <w:rPr>
          <w:rFonts w:ascii="Trebuchet MS" w:eastAsia="Times New Roman" w:hAnsi="Trebuchet MS" w:cs="Times New Roman"/>
          <w:sz w:val="20"/>
          <w:szCs w:val="18"/>
        </w:rPr>
        <w:t>Nafion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 consists </w:t>
      </w:r>
      <w:r w:rsidR="003C429F">
        <w:rPr>
          <w:rFonts w:ascii="Trebuchet MS" w:eastAsia="Times New Roman" w:hAnsi="Trebuchet MS" w:cs="Times New Roman"/>
          <w:sz w:val="20"/>
          <w:szCs w:val="18"/>
        </w:rPr>
        <w:t>of</w:t>
      </w:r>
      <w:r>
        <w:rPr>
          <w:rFonts w:ascii="Trebuchet MS" w:eastAsia="Times New Roman" w:hAnsi="Trebuchet MS" w:cs="Times New Roman"/>
          <w:sz w:val="20"/>
          <w:szCs w:val="18"/>
        </w:rPr>
        <w:t xml:space="preserve"> a hydrophobic </w:t>
      </w:r>
      <w:proofErr w:type="spellStart"/>
      <w:r>
        <w:rPr>
          <w:rFonts w:ascii="Trebuchet MS" w:eastAsia="Times New Roman" w:hAnsi="Trebuchet MS" w:cs="Times New Roman"/>
          <w:sz w:val="20"/>
          <w:szCs w:val="18"/>
        </w:rPr>
        <w:t>polytetrafluoroethylene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 (PTFE) backbone, bonded to </w:t>
      </w:r>
      <w:proofErr w:type="spellStart"/>
      <w:r>
        <w:rPr>
          <w:rFonts w:ascii="Trebuchet MS" w:eastAsia="Times New Roman" w:hAnsi="Trebuchet MS" w:cs="Times New Roman"/>
          <w:sz w:val="20"/>
          <w:szCs w:val="18"/>
        </w:rPr>
        <w:t>perfluorovinyl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 ether groups, terminated with a hydrophilic </w:t>
      </w:r>
      <w:proofErr w:type="spellStart"/>
      <w:r>
        <w:rPr>
          <w:rFonts w:ascii="Trebuchet MS" w:eastAsia="Times New Roman" w:hAnsi="Trebuchet MS" w:cs="Times New Roman"/>
          <w:sz w:val="20"/>
          <w:szCs w:val="18"/>
        </w:rPr>
        <w:t>sulfonate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 group (-SO</w:t>
      </w:r>
      <w:r w:rsidRPr="00497F58">
        <w:rPr>
          <w:rFonts w:ascii="Trebuchet MS" w:eastAsia="Times New Roman" w:hAnsi="Trebuchet MS" w:cs="Times New Roman"/>
          <w:sz w:val="20"/>
          <w:szCs w:val="18"/>
          <w:vertAlign w:val="subscript"/>
        </w:rPr>
        <w:t>3</w:t>
      </w:r>
      <w:r>
        <w:rPr>
          <w:rFonts w:ascii="Trebuchet MS" w:eastAsia="Times New Roman" w:hAnsi="Trebuchet MS" w:cs="Times New Roman"/>
          <w:sz w:val="20"/>
          <w:szCs w:val="18"/>
        </w:rPr>
        <w:t xml:space="preserve">H). Previous studies on </w:t>
      </w:r>
      <w:proofErr w:type="spellStart"/>
      <w:r w:rsidR="003C429F">
        <w:rPr>
          <w:rFonts w:ascii="Trebuchet MS" w:eastAsia="Times New Roman" w:hAnsi="Trebuchet MS" w:cs="Times New Roman"/>
          <w:sz w:val="20"/>
          <w:szCs w:val="18"/>
        </w:rPr>
        <w:t>electro</w:t>
      </w:r>
      <w:r>
        <w:rPr>
          <w:rFonts w:ascii="Trebuchet MS" w:eastAsia="Times New Roman" w:hAnsi="Trebuchet MS" w:cs="Times New Roman"/>
          <w:sz w:val="20"/>
          <w:szCs w:val="18"/>
        </w:rPr>
        <w:t>catalysis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 have proven that </w:t>
      </w:r>
      <w:r w:rsidR="003C429F">
        <w:rPr>
          <w:rFonts w:ascii="Trebuchet MS" w:eastAsia="Times New Roman" w:hAnsi="Trebuchet MS" w:cs="Times New Roman"/>
          <w:sz w:val="20"/>
          <w:szCs w:val="18"/>
        </w:rPr>
        <w:t xml:space="preserve">processes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occurring in the metal | electrolyte interface have an important effect on reaction rate and selectivity. </w:t>
      </w:r>
      <w:r w:rsidR="003C429F">
        <w:rPr>
          <w:rFonts w:ascii="Trebuchet MS" w:eastAsia="Times New Roman" w:hAnsi="Trebuchet MS" w:cs="Times New Roman"/>
          <w:sz w:val="20"/>
          <w:szCs w:val="18"/>
        </w:rPr>
        <w:t>Hence, s</w:t>
      </w:r>
      <w:r>
        <w:rPr>
          <w:rFonts w:ascii="Trebuchet MS" w:eastAsia="Times New Roman" w:hAnsi="Trebuchet MS" w:cs="Times New Roman"/>
          <w:sz w:val="20"/>
          <w:szCs w:val="18"/>
        </w:rPr>
        <w:t>tudying the Metal-</w:t>
      </w:r>
      <w:proofErr w:type="spellStart"/>
      <w:r>
        <w:rPr>
          <w:rFonts w:ascii="Trebuchet MS" w:eastAsia="Times New Roman" w:hAnsi="Trebuchet MS" w:cs="Times New Roman"/>
          <w:sz w:val="20"/>
          <w:szCs w:val="18"/>
        </w:rPr>
        <w:t>ionomer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 xml:space="preserve"> | electrolyte interface is essential to improve the 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performance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of catalysts, 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for a variety of reactions such as </w:t>
      </w:r>
      <w:r>
        <w:rPr>
          <w:rFonts w:ascii="Trebuchet MS" w:eastAsia="Times New Roman" w:hAnsi="Trebuchet MS" w:cs="Times New Roman"/>
          <w:sz w:val="20"/>
          <w:szCs w:val="18"/>
        </w:rPr>
        <w:t>oxygen reduction, hydrogen evolution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 and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organic molecule </w:t>
      </w:r>
      <w:proofErr w:type="spellStart"/>
      <w:r>
        <w:rPr>
          <w:rFonts w:ascii="Trebuchet MS" w:eastAsia="Times New Roman" w:hAnsi="Trebuchet MS" w:cs="Times New Roman"/>
          <w:sz w:val="20"/>
          <w:szCs w:val="18"/>
        </w:rPr>
        <w:t>electrooxidation</w:t>
      </w:r>
      <w:proofErr w:type="spellEnd"/>
      <w:r>
        <w:rPr>
          <w:rFonts w:ascii="Trebuchet MS" w:eastAsia="Times New Roman" w:hAnsi="Trebuchet MS" w:cs="Times New Roman"/>
          <w:sz w:val="20"/>
          <w:szCs w:val="18"/>
        </w:rPr>
        <w:t>, such as formic acid and methanol.</w:t>
      </w:r>
    </w:p>
    <w:p w:rsidR="008D4E68" w:rsidRDefault="008D4E68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</w:rPr>
      </w:pPr>
    </w:p>
    <w:p w:rsidR="008D4E68" w:rsidRDefault="00156242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</w:rPr>
      </w:pPr>
      <w:r>
        <w:rPr>
          <w:rFonts w:ascii="Trebuchet MS" w:eastAsia="Times New Roman" w:hAnsi="Trebuchet MS" w:cs="Times New Roman"/>
          <w:sz w:val="20"/>
          <w:szCs w:val="18"/>
        </w:rPr>
        <w:t>The strategy for getting an accurate description of the processes occurring on the metal-ionomer | electrolyte interface is covering the metal with either a layer of ionomers with the same structure as the membrane or a layer of ionomers with lower molecular weight, but having the same fu</w:t>
      </w:r>
      <w:r w:rsidR="000336FC">
        <w:rPr>
          <w:rFonts w:ascii="Trebuchet MS" w:eastAsia="Times New Roman" w:hAnsi="Trebuchet MS" w:cs="Times New Roman"/>
          <w:sz w:val="20"/>
          <w:szCs w:val="18"/>
        </w:rPr>
        <w:t xml:space="preserve">nctional group as the membrane. </w:t>
      </w:r>
    </w:p>
    <w:p w:rsidR="000336FC" w:rsidRDefault="000336FC">
      <w:pPr>
        <w:spacing w:after="0" w:line="240" w:lineRule="auto"/>
        <w:ind w:right="49"/>
        <w:jc w:val="both"/>
        <w:rPr>
          <w:rFonts w:ascii="Trebuchet MS" w:eastAsia="Times New Roman" w:hAnsi="Trebuchet MS" w:cs="Times New Roman"/>
          <w:sz w:val="20"/>
          <w:szCs w:val="18"/>
        </w:rPr>
      </w:pPr>
    </w:p>
    <w:p w:rsidR="004C2230" w:rsidRPr="00DD3085" w:rsidRDefault="003C429F" w:rsidP="00D40185">
      <w:pPr>
        <w:spacing w:after="120" w:line="240" w:lineRule="auto"/>
        <w:ind w:right="51"/>
        <w:jc w:val="both"/>
        <w:rPr>
          <w:rFonts w:ascii="Trebuchet MS" w:eastAsia="Times New Roman" w:hAnsi="Trebuchet MS" w:cs="Times New Roman"/>
          <w:sz w:val="20"/>
          <w:szCs w:val="18"/>
        </w:rPr>
      </w:pPr>
      <w:r>
        <w:rPr>
          <w:rFonts w:ascii="Trebuchet MS" w:eastAsia="Times New Roman" w:hAnsi="Trebuchet MS" w:cs="Times New Roman"/>
          <w:sz w:val="20"/>
          <w:szCs w:val="18"/>
        </w:rPr>
        <w:t>Earlier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studies on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Nafion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ionomers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demonstrate</w:t>
      </w:r>
      <w:r>
        <w:rPr>
          <w:rFonts w:ascii="Trebuchet MS" w:eastAsia="Times New Roman" w:hAnsi="Trebuchet MS" w:cs="Times New Roman"/>
          <w:sz w:val="20"/>
          <w:szCs w:val="18"/>
        </w:rPr>
        <w:t>d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that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the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voltametric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response of </w:t>
      </w:r>
      <w:r>
        <w:rPr>
          <w:rFonts w:ascii="Trebuchet MS" w:eastAsia="Times New Roman" w:hAnsi="Trebuchet MS" w:cs="Times New Roman"/>
          <w:sz w:val="20"/>
          <w:szCs w:val="18"/>
        </w:rPr>
        <w:t xml:space="preserve">the </w:t>
      </w:r>
      <w:r w:rsidR="00156242">
        <w:rPr>
          <w:rFonts w:ascii="Trebuchet MS" w:eastAsia="Times New Roman" w:hAnsi="Trebuchet MS" w:cs="Times New Roman"/>
          <w:sz w:val="20"/>
          <w:szCs w:val="18"/>
        </w:rPr>
        <w:t>Pt-SO</w:t>
      </w:r>
      <w:r w:rsidR="00156242">
        <w:rPr>
          <w:rFonts w:ascii="Trebuchet MS" w:eastAsia="Times New Roman" w:hAnsi="Trebuchet MS" w:cs="Times New Roman"/>
          <w:sz w:val="20"/>
          <w:szCs w:val="18"/>
          <w:vertAlign w:val="subscript"/>
        </w:rPr>
        <w:t>3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| HClO</w:t>
      </w:r>
      <w:r w:rsidR="00156242">
        <w:rPr>
          <w:rFonts w:ascii="Trebuchet MS" w:eastAsia="Times New Roman" w:hAnsi="Trebuchet MS" w:cs="Times New Roman"/>
          <w:sz w:val="20"/>
          <w:szCs w:val="18"/>
          <w:vertAlign w:val="subscript"/>
        </w:rPr>
        <w:t>4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interface depends on the preparation conditions (</w:t>
      </w:r>
      <w:r w:rsidR="006047F6">
        <w:rPr>
          <w:rFonts w:ascii="Trebuchet MS" w:eastAsia="Times New Roman" w:hAnsi="Trebuchet MS" w:cs="Times New Roman"/>
          <w:sz w:val="20"/>
          <w:szCs w:val="18"/>
        </w:rPr>
        <w:t>e.g.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concentration, tem</w:t>
      </w:r>
      <w:r w:rsidR="000336FC">
        <w:rPr>
          <w:rFonts w:ascii="Trebuchet MS" w:eastAsia="Times New Roman" w:hAnsi="Trebuchet MS" w:cs="Times New Roman"/>
          <w:sz w:val="20"/>
          <w:szCs w:val="18"/>
        </w:rPr>
        <w:t>perature and drying atmosphere). T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he first step in this work </w:t>
      </w:r>
      <w:r w:rsidR="00CE4A83">
        <w:rPr>
          <w:rFonts w:ascii="Trebuchet MS" w:eastAsia="Times New Roman" w:hAnsi="Trebuchet MS" w:cs="Times New Roman"/>
          <w:sz w:val="20"/>
          <w:szCs w:val="18"/>
        </w:rPr>
        <w:t xml:space="preserve">will be 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the standardization of those conditions, </w:t>
      </w:r>
      <w:r w:rsidR="00CE4A83">
        <w:rPr>
          <w:rFonts w:ascii="Trebuchet MS" w:eastAsia="Times New Roman" w:hAnsi="Trebuchet MS" w:cs="Times New Roman"/>
          <w:sz w:val="20"/>
          <w:szCs w:val="18"/>
        </w:rPr>
        <w:t>to achieve a reproducible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voltametric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response.</w:t>
      </w:r>
      <w:r w:rsidR="006047F6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156242">
        <w:rPr>
          <w:rFonts w:ascii="Trebuchet MS" w:eastAsia="Times New Roman" w:hAnsi="Trebuchet MS" w:cs="Times New Roman"/>
          <w:sz w:val="20"/>
          <w:szCs w:val="18"/>
        </w:rPr>
        <w:t>Figure</w:t>
      </w:r>
      <w:r w:rsidR="00EF12F6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156242">
        <w:rPr>
          <w:rFonts w:ascii="Trebuchet MS" w:eastAsia="Times New Roman" w:hAnsi="Trebuchet MS" w:cs="Times New Roman"/>
          <w:sz w:val="20"/>
          <w:szCs w:val="18"/>
        </w:rPr>
        <w:t>1</w:t>
      </w:r>
      <w:r w:rsidR="00EF12F6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shows 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some </w:t>
      </w:r>
      <w:proofErr w:type="gramStart"/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initial 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voltametric</w:t>
      </w:r>
      <w:proofErr w:type="spellEnd"/>
      <w:proofErr w:type="gram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results of </w:t>
      </w:r>
      <w:r w:rsidR="000336FC">
        <w:rPr>
          <w:rFonts w:ascii="Trebuchet MS" w:eastAsia="Times New Roman" w:hAnsi="Trebuchet MS" w:cs="Times New Roman"/>
          <w:sz w:val="20"/>
          <w:szCs w:val="18"/>
        </w:rPr>
        <w:t xml:space="preserve">different </w:t>
      </w:r>
      <w:proofErr w:type="spellStart"/>
      <w:r w:rsidR="000336FC">
        <w:rPr>
          <w:rFonts w:ascii="Trebuchet MS" w:eastAsia="Times New Roman" w:hAnsi="Trebuchet MS" w:cs="Times New Roman"/>
          <w:sz w:val="20"/>
          <w:szCs w:val="18"/>
        </w:rPr>
        <w:t>Nafion</w:t>
      </w:r>
      <w:proofErr w:type="spellEnd"/>
      <w:r w:rsidR="000336FC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780FE7">
        <w:rPr>
          <w:rFonts w:ascii="Trebuchet MS" w:eastAsia="Times New Roman" w:hAnsi="Trebuchet MS" w:cs="Times New Roman"/>
          <w:sz w:val="20"/>
          <w:szCs w:val="18"/>
        </w:rPr>
        <w:t xml:space="preserve">117 </w:t>
      </w:r>
      <w:r w:rsidR="000336FC">
        <w:rPr>
          <w:rFonts w:ascii="Trebuchet MS" w:eastAsia="Times New Roman" w:hAnsi="Trebuchet MS" w:cs="Times New Roman"/>
          <w:sz w:val="20"/>
          <w:szCs w:val="18"/>
        </w:rPr>
        <w:t xml:space="preserve">coverings on a 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Pt(111) electrode. A second step will be the study of </w:t>
      </w:r>
      <w:r w:rsidR="00CE4A83">
        <w:rPr>
          <w:rFonts w:ascii="Trebuchet MS" w:eastAsia="Times New Roman" w:hAnsi="Trebuchet MS" w:cs="Times New Roman"/>
          <w:sz w:val="20"/>
          <w:szCs w:val="18"/>
        </w:rPr>
        <w:t xml:space="preserve">the </w:t>
      </w:r>
      <w:proofErr w:type="spellStart"/>
      <w:r w:rsidR="00CE4A83">
        <w:rPr>
          <w:rFonts w:ascii="Trebuchet MS" w:eastAsia="Times New Roman" w:hAnsi="Trebuchet MS" w:cs="Times New Roman"/>
          <w:sz w:val="20"/>
          <w:szCs w:val="18"/>
        </w:rPr>
        <w:t>adlayer</w:t>
      </w:r>
      <w:proofErr w:type="spellEnd"/>
      <w:r w:rsidR="00CE4A83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156242">
        <w:rPr>
          <w:rFonts w:ascii="Trebuchet MS" w:eastAsia="Times New Roman" w:hAnsi="Trebuchet MS" w:cs="Times New Roman"/>
          <w:sz w:val="20"/>
          <w:szCs w:val="18"/>
        </w:rPr>
        <w:t>topography using</w:t>
      </w:r>
      <w:r w:rsidR="008A3D17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8A3D17" w:rsidRPr="008A3D17">
        <w:rPr>
          <w:rFonts w:ascii="Trebuchet MS" w:eastAsia="Times New Roman" w:hAnsi="Trebuchet MS" w:cs="Times New Roman"/>
          <w:sz w:val="20"/>
          <w:szCs w:val="18"/>
        </w:rPr>
        <w:t xml:space="preserve">Atomic </w:t>
      </w:r>
      <w:r w:rsidR="00A161C9">
        <w:rPr>
          <w:rFonts w:ascii="Trebuchet MS" w:eastAsia="Times New Roman" w:hAnsi="Trebuchet MS" w:cs="Times New Roman"/>
          <w:sz w:val="20"/>
          <w:szCs w:val="18"/>
        </w:rPr>
        <w:t>F</w:t>
      </w:r>
      <w:r w:rsidR="008A3D17" w:rsidRPr="008A3D17">
        <w:rPr>
          <w:rFonts w:ascii="Trebuchet MS" w:eastAsia="Times New Roman" w:hAnsi="Trebuchet MS" w:cs="Times New Roman"/>
          <w:sz w:val="20"/>
          <w:szCs w:val="18"/>
        </w:rPr>
        <w:t xml:space="preserve">orce </w:t>
      </w:r>
      <w:r w:rsidR="00A161C9">
        <w:rPr>
          <w:rFonts w:ascii="Trebuchet MS" w:eastAsia="Times New Roman" w:hAnsi="Trebuchet MS" w:cs="Times New Roman"/>
          <w:sz w:val="20"/>
          <w:szCs w:val="18"/>
        </w:rPr>
        <w:t>M</w:t>
      </w:r>
      <w:r w:rsidR="008A3D17" w:rsidRPr="008A3D17">
        <w:rPr>
          <w:rFonts w:ascii="Trebuchet MS" w:eastAsia="Times New Roman" w:hAnsi="Trebuchet MS" w:cs="Times New Roman"/>
          <w:sz w:val="20"/>
          <w:szCs w:val="18"/>
        </w:rPr>
        <w:t>icroscopy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8A3D17">
        <w:rPr>
          <w:rFonts w:ascii="Trebuchet MS" w:eastAsia="Times New Roman" w:hAnsi="Trebuchet MS" w:cs="Times New Roman"/>
          <w:sz w:val="20"/>
          <w:szCs w:val="18"/>
        </w:rPr>
        <w:t>and</w:t>
      </w:r>
      <w:r w:rsidR="00CE4A83">
        <w:rPr>
          <w:rFonts w:ascii="Trebuchet MS" w:eastAsia="Times New Roman" w:hAnsi="Trebuchet MS" w:cs="Times New Roman"/>
          <w:sz w:val="20"/>
          <w:szCs w:val="18"/>
        </w:rPr>
        <w:t xml:space="preserve"> its</w:t>
      </w:r>
      <w:r w:rsidR="008A3D17">
        <w:rPr>
          <w:rFonts w:ascii="Trebuchet MS" w:eastAsia="Times New Roman" w:hAnsi="Trebuchet MS" w:cs="Times New Roman"/>
          <w:sz w:val="20"/>
          <w:szCs w:val="18"/>
        </w:rPr>
        <w:t xml:space="preserve"> characteriz</w:t>
      </w:r>
      <w:r w:rsidR="00A161C9">
        <w:rPr>
          <w:rFonts w:ascii="Trebuchet MS" w:eastAsia="Times New Roman" w:hAnsi="Trebuchet MS" w:cs="Times New Roman"/>
          <w:sz w:val="20"/>
          <w:szCs w:val="18"/>
        </w:rPr>
        <w:t>ation</w:t>
      </w:r>
      <w:r w:rsidR="008A3D17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69238A">
        <w:rPr>
          <w:rFonts w:ascii="Trebuchet MS" w:eastAsia="Times New Roman" w:hAnsi="Trebuchet MS" w:cs="Times New Roman"/>
          <w:sz w:val="20"/>
          <w:szCs w:val="18"/>
        </w:rPr>
        <w:t xml:space="preserve">using </w:t>
      </w:r>
      <w:r w:rsidR="00156242">
        <w:rPr>
          <w:rFonts w:ascii="Trebuchet MS" w:eastAsia="Times New Roman" w:hAnsi="Trebuchet MS" w:cs="Times New Roman"/>
          <w:sz w:val="20"/>
          <w:szCs w:val="18"/>
        </w:rPr>
        <w:t>Fourier-transform Infrared Spectroscopy.</w:t>
      </w:r>
      <w:r w:rsidR="000336FC">
        <w:t xml:space="preserve"> </w:t>
      </w:r>
      <w:r w:rsidR="00156242">
        <w:rPr>
          <w:rFonts w:ascii="Trebuchet MS" w:eastAsia="Times New Roman" w:hAnsi="Trebuchet MS" w:cs="Times New Roman"/>
          <w:sz w:val="20"/>
          <w:szCs w:val="18"/>
        </w:rPr>
        <w:t>This study can be continued, varying electrolyte</w:t>
      </w:r>
      <w:r w:rsidR="006676E1">
        <w:rPr>
          <w:rFonts w:ascii="Trebuchet MS" w:eastAsia="Times New Roman" w:hAnsi="Trebuchet MS" w:cs="Times New Roman"/>
          <w:sz w:val="20"/>
          <w:szCs w:val="18"/>
        </w:rPr>
        <w:t>,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r w:rsidR="006676E1">
        <w:rPr>
          <w:rFonts w:ascii="Trebuchet MS" w:eastAsia="Times New Roman" w:hAnsi="Trebuchet MS" w:cs="Times New Roman"/>
          <w:sz w:val="20"/>
          <w:szCs w:val="18"/>
        </w:rPr>
        <w:t>e.g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.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metasulphonic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acid (CH</w:t>
      </w:r>
      <w:r w:rsidR="00156242">
        <w:rPr>
          <w:rFonts w:ascii="Trebuchet MS" w:eastAsia="Times New Roman" w:hAnsi="Trebuchet MS" w:cs="Times New Roman"/>
          <w:sz w:val="20"/>
          <w:szCs w:val="18"/>
          <w:vertAlign w:val="subscript"/>
        </w:rPr>
        <w:t>3</w:t>
      </w:r>
      <w:r w:rsidR="00156242">
        <w:rPr>
          <w:rFonts w:ascii="Trebuchet MS" w:eastAsia="Times New Roman" w:hAnsi="Trebuchet MS" w:cs="Times New Roman"/>
          <w:sz w:val="20"/>
          <w:szCs w:val="18"/>
        </w:rPr>
        <w:t>-SO</w:t>
      </w:r>
      <w:r w:rsidR="00156242">
        <w:rPr>
          <w:rFonts w:ascii="Trebuchet MS" w:eastAsia="Times New Roman" w:hAnsi="Trebuchet MS" w:cs="Times New Roman"/>
          <w:sz w:val="20"/>
          <w:szCs w:val="18"/>
          <w:vertAlign w:val="subscript"/>
        </w:rPr>
        <w:t>3</w:t>
      </w:r>
      <w:r w:rsidR="000336FC">
        <w:rPr>
          <w:rFonts w:ascii="Trebuchet MS" w:eastAsia="Times New Roman" w:hAnsi="Trebuchet MS" w:cs="Times New Roman"/>
          <w:sz w:val="20"/>
          <w:szCs w:val="18"/>
        </w:rPr>
        <w:t xml:space="preserve">H) </w:t>
      </w:r>
      <w:r w:rsidR="00156242">
        <w:rPr>
          <w:rFonts w:ascii="Trebuchet MS" w:eastAsia="Times New Roman" w:hAnsi="Trebuchet MS" w:cs="Times New Roman"/>
          <w:sz w:val="20"/>
          <w:szCs w:val="18"/>
        </w:rPr>
        <w:t>or NaOH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 and pH</w:t>
      </w:r>
      <w:r w:rsidR="00156242">
        <w:rPr>
          <w:rFonts w:ascii="Trebuchet MS" w:eastAsia="Times New Roman" w:hAnsi="Trebuchet MS" w:cs="Times New Roman"/>
          <w:sz w:val="20"/>
          <w:szCs w:val="18"/>
        </w:rPr>
        <w:t>; varying the electrode composition (</w:t>
      </w:r>
      <w:r w:rsidR="006047F6">
        <w:rPr>
          <w:rFonts w:ascii="Trebuchet MS" w:eastAsia="Times New Roman" w:hAnsi="Trebuchet MS" w:cs="Times New Roman"/>
          <w:sz w:val="20"/>
          <w:szCs w:val="18"/>
        </w:rPr>
        <w:t>e.g.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Pt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>/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Pd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,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Pt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>/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Ru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, Ni); or including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adatoms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(</w:t>
      </w:r>
      <w:r w:rsidR="006047F6">
        <w:rPr>
          <w:rFonts w:ascii="Trebuchet MS" w:eastAsia="Times New Roman" w:hAnsi="Trebuchet MS" w:cs="Times New Roman"/>
          <w:sz w:val="20"/>
          <w:szCs w:val="18"/>
        </w:rPr>
        <w:t>e.g.</w:t>
      </w:r>
      <w:bookmarkStart w:id="0" w:name="_GoBack"/>
      <w:bookmarkEnd w:id="0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Fe, Co, Ni or Bi, As, G</w:t>
      </w:r>
      <w:r w:rsidR="006676E1">
        <w:rPr>
          <w:rFonts w:ascii="Trebuchet MS" w:eastAsia="Times New Roman" w:hAnsi="Trebuchet MS" w:cs="Times New Roman"/>
          <w:sz w:val="20"/>
          <w:szCs w:val="18"/>
        </w:rPr>
        <w:t>e</w:t>
      </w:r>
      <w:r w:rsidR="00156242">
        <w:rPr>
          <w:rFonts w:ascii="Trebuchet MS" w:eastAsia="Times New Roman" w:hAnsi="Trebuchet MS" w:cs="Times New Roman"/>
          <w:sz w:val="20"/>
          <w:szCs w:val="18"/>
        </w:rPr>
        <w:t>). For each metal-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ionomer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| electrolyte, 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important interfacial properties will be determined, such as </w:t>
      </w:r>
      <w:r w:rsidR="00156242">
        <w:rPr>
          <w:rFonts w:ascii="Trebuchet MS" w:eastAsia="Times New Roman" w:hAnsi="Trebuchet MS" w:cs="Times New Roman"/>
          <w:sz w:val="20"/>
          <w:szCs w:val="18"/>
        </w:rPr>
        <w:t>the anion adsorption coverage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 or the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potential of zero charge</w:t>
      </w:r>
      <w:r w:rsidR="006676E1">
        <w:rPr>
          <w:rFonts w:ascii="Trebuchet MS" w:eastAsia="Times New Roman" w:hAnsi="Trebuchet MS" w:cs="Times New Roman"/>
          <w:sz w:val="20"/>
          <w:szCs w:val="18"/>
        </w:rPr>
        <w:t>,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through probe molecules or laser</w:t>
      </w:r>
      <w:r w:rsidR="00AC302E">
        <w:rPr>
          <w:rFonts w:ascii="Trebuchet MS" w:eastAsia="Times New Roman" w:hAnsi="Trebuchet MS" w:cs="Times New Roman"/>
          <w:sz w:val="20"/>
          <w:szCs w:val="18"/>
        </w:rPr>
        <w:t>-induced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temperature </w:t>
      </w:r>
      <w:r w:rsidR="00AC302E">
        <w:rPr>
          <w:rFonts w:ascii="Trebuchet MS" w:eastAsia="Times New Roman" w:hAnsi="Trebuchet MS" w:cs="Times New Roman"/>
          <w:sz w:val="20"/>
          <w:szCs w:val="18"/>
        </w:rPr>
        <w:t xml:space="preserve">jump 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technique. </w:t>
      </w:r>
      <w:r w:rsidR="006676E1">
        <w:rPr>
          <w:rFonts w:ascii="Trebuchet MS" w:eastAsia="Times New Roman" w:hAnsi="Trebuchet MS" w:cs="Times New Roman"/>
          <w:sz w:val="20"/>
          <w:szCs w:val="18"/>
        </w:rPr>
        <w:t xml:space="preserve">The study can be further extended to </w:t>
      </w:r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different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ionomers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, varying the backbone length and the number of ether </w:t>
      </w:r>
      <w:proofErr w:type="spellStart"/>
      <w:r w:rsidR="00156242">
        <w:rPr>
          <w:rFonts w:ascii="Trebuchet MS" w:eastAsia="Times New Roman" w:hAnsi="Trebuchet MS" w:cs="Times New Roman"/>
          <w:sz w:val="20"/>
          <w:szCs w:val="18"/>
        </w:rPr>
        <w:t>p</w:t>
      </w:r>
      <w:r w:rsidR="00497F58"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10.65pt;margin-top:616.5pt;width:24.8pt;height:20.45pt;z-index:2516623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d="f">
            <v:textbox style="mso-next-textbox:#_x0000_s1028">
              <w:txbxContent>
                <w:p w:rsidR="00EB691D" w:rsidRDefault="00EB691D" w:rsidP="00A27164">
                  <w:r>
                    <w:rPr>
                      <w:rFonts w:ascii="Trebuchet MS" w:eastAsia="Times New Roman" w:hAnsi="Trebuchet MS" w:cs="Times New Roman"/>
                      <w:sz w:val="20"/>
                      <w:szCs w:val="18"/>
                    </w:rPr>
                    <w:t>A</w:t>
                  </w:r>
                </w:p>
              </w:txbxContent>
            </v:textbox>
          </v:shape>
        </w:pict>
      </w:r>
      <w:r w:rsidR="00156242">
        <w:rPr>
          <w:rFonts w:ascii="Trebuchet MS" w:eastAsia="Times New Roman" w:hAnsi="Trebuchet MS" w:cs="Times New Roman"/>
          <w:sz w:val="20"/>
          <w:szCs w:val="18"/>
        </w:rPr>
        <w:t>erflourvinyl</w:t>
      </w:r>
      <w:proofErr w:type="spellEnd"/>
      <w:r w:rsidR="00156242">
        <w:rPr>
          <w:rFonts w:ascii="Trebuchet MS" w:eastAsia="Times New Roman" w:hAnsi="Trebuchet MS" w:cs="Times New Roman"/>
          <w:sz w:val="20"/>
          <w:szCs w:val="18"/>
        </w:rPr>
        <w:t xml:space="preserve"> groups of the membrane.</w:t>
      </w:r>
    </w:p>
    <w:p w:rsidR="000E4F93" w:rsidRPr="001C0A4A" w:rsidRDefault="00497F58" w:rsidP="0013194E">
      <w:pPr>
        <w:spacing w:after="0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 w:cs="Times New Roman"/>
          <w:noProof/>
          <w:sz w:val="20"/>
          <w:szCs w:val="18"/>
          <w:lang w:val="es-ES" w:eastAsia="es-ES"/>
        </w:rPr>
        <w:pict>
          <v:shape id="_x0000_s1030" type="#_x0000_t202" style="position:absolute;left:0;text-align:left;margin-left:315.95pt;margin-top:3.05pt;width:24.8pt;height:15.65pt;z-index:2516633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d="f">
            <v:textbox>
              <w:txbxContent>
                <w:p w:rsidR="00EB691D" w:rsidRPr="000C39BA" w:rsidRDefault="00EB691D" w:rsidP="005F32C3">
                  <w:pPr>
                    <w:spacing w:after="0"/>
                    <w:rPr>
                      <w:sz w:val="18"/>
                      <w:szCs w:val="18"/>
                      <w:lang w:val="es-ES"/>
                    </w:rPr>
                  </w:pPr>
                  <w:r w:rsidRPr="000C39BA">
                    <w:rPr>
                      <w:rFonts w:ascii="Trebuchet MS" w:eastAsia="Times New Roman" w:hAnsi="Trebuchet MS" w:cs="Times New Roman"/>
                      <w:sz w:val="18"/>
                      <w:szCs w:val="18"/>
                      <w:lang w:val="es-ES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Cuadro de texto 2" o:spid="_x0000_s1026" type="#_x0000_t202" style="position:absolute;left:0;text-align:left;margin-left:28.1pt;margin-top:5.75pt;width:24.8pt;height:15.65pt;z-index:2516592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d="f">
            <v:textbox>
              <w:txbxContent>
                <w:p w:rsidR="00EB691D" w:rsidRPr="000C39BA" w:rsidRDefault="00EB691D" w:rsidP="0013194E">
                  <w:pPr>
                    <w:spacing w:after="0"/>
                    <w:rPr>
                      <w:sz w:val="18"/>
                      <w:szCs w:val="18"/>
                      <w:lang w:val="es-ES"/>
                    </w:rPr>
                  </w:pPr>
                  <w:r w:rsidRPr="000C39BA">
                    <w:rPr>
                      <w:rFonts w:ascii="Trebuchet MS" w:eastAsia="Times New Roman" w:hAnsi="Trebuchet MS" w:cs="Times New Roman"/>
                      <w:sz w:val="18"/>
                      <w:szCs w:val="18"/>
                      <w:lang w:val="es-ES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lang w:val="es-ES" w:eastAsia="es-ES"/>
        </w:rPr>
        <w:pict>
          <v:shape id="_x0000_s1027" type="#_x0000_t202" style="position:absolute;left:0;text-align:left;margin-left:172.9pt;margin-top:4.75pt;width:24.8pt;height:16.65pt;z-index:2516602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d="f">
            <v:textbox>
              <w:txbxContent>
                <w:p w:rsidR="00EB691D" w:rsidRPr="000C39BA" w:rsidRDefault="00EB691D" w:rsidP="0013194E">
                  <w:pPr>
                    <w:spacing w:after="0"/>
                    <w:rPr>
                      <w:sz w:val="18"/>
                      <w:szCs w:val="18"/>
                      <w:lang w:val="es-ES"/>
                    </w:rPr>
                  </w:pPr>
                  <w:r w:rsidRPr="000C39BA">
                    <w:rPr>
                      <w:rFonts w:ascii="Trebuchet MS" w:eastAsia="Times New Roman" w:hAnsi="Trebuchet MS" w:cs="Times New Roman"/>
                      <w:sz w:val="18"/>
                      <w:szCs w:val="18"/>
                      <w:lang w:val="es-ES"/>
                    </w:rPr>
                    <w:t>B</w:t>
                  </w:r>
                </w:p>
              </w:txbxContent>
            </v:textbox>
          </v:shape>
        </w:pict>
      </w:r>
      <w:r w:rsidR="001C0A4A">
        <w:rPr>
          <w:rFonts w:ascii="Trebuchet MS" w:hAnsi="Trebuchet MS"/>
          <w:noProof/>
          <w:sz w:val="20"/>
          <w:szCs w:val="20"/>
          <w:lang w:val="es-ES" w:eastAsia="es-ES"/>
        </w:rPr>
        <w:drawing>
          <wp:inline distT="0" distB="0" distL="0" distR="0" wp14:anchorId="410C3D74" wp14:editId="0D9E7192">
            <wp:extent cx="1819948" cy="1283343"/>
            <wp:effectExtent l="0" t="0" r="0" b="0"/>
            <wp:docPr id="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 3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79" r="9904"/>
                    <a:stretch/>
                  </pic:blipFill>
                  <pic:spPr bwMode="auto">
                    <a:xfrm>
                      <a:off x="0" y="0"/>
                      <a:ext cx="1823118" cy="1285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0A4A">
        <w:rPr>
          <w:rFonts w:ascii="Trebuchet MS" w:hAnsi="Trebuchet MS"/>
          <w:noProof/>
          <w:sz w:val="20"/>
          <w:szCs w:val="20"/>
          <w:lang w:val="es-ES" w:eastAsia="es-ES"/>
        </w:rPr>
        <w:drawing>
          <wp:inline distT="0" distB="0" distL="0" distR="0" wp14:anchorId="4DCD42A4" wp14:editId="5682598E">
            <wp:extent cx="1828276" cy="1320808"/>
            <wp:effectExtent l="0" t="0" r="0" b="0"/>
            <wp:docPr id="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3bis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4" t="16539" r="12141" b="4901"/>
                    <a:stretch/>
                  </pic:blipFill>
                  <pic:spPr bwMode="auto">
                    <a:xfrm>
                      <a:off x="0" y="0"/>
                      <a:ext cx="1828276" cy="1320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0A4A">
        <w:rPr>
          <w:rFonts w:ascii="Trebuchet MS" w:eastAsia="Times New Roman" w:hAnsi="Trebuchet MS" w:cs="Times New Roman"/>
          <w:noProof/>
          <w:sz w:val="20"/>
          <w:szCs w:val="18"/>
          <w:lang w:val="es-ES" w:eastAsia="es-ES"/>
        </w:rPr>
        <w:drawing>
          <wp:inline distT="0" distB="0" distL="0" distR="0" wp14:anchorId="763B0DEA" wp14:editId="5291D260">
            <wp:extent cx="1725617" cy="1244814"/>
            <wp:effectExtent l="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3''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5" t="16952" r="12780" b="4901"/>
                    <a:stretch/>
                  </pic:blipFill>
                  <pic:spPr bwMode="auto">
                    <a:xfrm>
                      <a:off x="0" y="0"/>
                      <a:ext cx="1734390" cy="1251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E68" w:rsidRPr="00A27164" w:rsidRDefault="00156242">
      <w:pPr>
        <w:jc w:val="center"/>
        <w:rPr>
          <w:rFonts w:ascii="Trebuchet MS" w:hAnsi="Trebuchet MS"/>
          <w:sz w:val="18"/>
          <w:szCs w:val="18"/>
        </w:rPr>
      </w:pPr>
      <w:proofErr w:type="spellStart"/>
      <w:r w:rsidRPr="004C2230">
        <w:rPr>
          <w:rFonts w:ascii="Trebuchet MS" w:hAnsi="Trebuchet MS"/>
          <w:sz w:val="18"/>
          <w:szCs w:val="18"/>
        </w:rPr>
        <w:t>Figura</w:t>
      </w:r>
      <w:proofErr w:type="spellEnd"/>
      <w:r w:rsidRPr="004C2230">
        <w:rPr>
          <w:rFonts w:ascii="Trebuchet MS" w:hAnsi="Trebuchet MS"/>
          <w:sz w:val="18"/>
          <w:szCs w:val="18"/>
        </w:rPr>
        <w:t xml:space="preserve"> 1. </w:t>
      </w:r>
      <w:r w:rsidR="00127EED" w:rsidRPr="00A27164">
        <w:rPr>
          <w:rFonts w:ascii="Trebuchet MS" w:hAnsi="Trebuchet MS"/>
          <w:sz w:val="18"/>
          <w:szCs w:val="18"/>
        </w:rPr>
        <w:t xml:space="preserve">Cyclic voltammetry of </w:t>
      </w:r>
      <w:proofErr w:type="gramStart"/>
      <w:r w:rsidR="00127EED" w:rsidRPr="00A27164">
        <w:rPr>
          <w:rFonts w:ascii="Trebuchet MS" w:hAnsi="Trebuchet MS"/>
          <w:sz w:val="18"/>
          <w:szCs w:val="18"/>
        </w:rPr>
        <w:t>Pt(</w:t>
      </w:r>
      <w:proofErr w:type="gramEnd"/>
      <w:r w:rsidR="00127EED" w:rsidRPr="00A27164">
        <w:rPr>
          <w:rFonts w:ascii="Trebuchet MS" w:hAnsi="Trebuchet MS"/>
          <w:sz w:val="18"/>
          <w:szCs w:val="18"/>
        </w:rPr>
        <w:t xml:space="preserve">111) </w:t>
      </w:r>
      <w:r w:rsidR="00C50045" w:rsidRPr="00A27164">
        <w:rPr>
          <w:rFonts w:ascii="Trebuchet MS" w:hAnsi="Trebuchet MS"/>
          <w:sz w:val="18"/>
          <w:szCs w:val="18"/>
        </w:rPr>
        <w:t>| HClO</w:t>
      </w:r>
      <w:r w:rsidR="00C50045" w:rsidRPr="00A27164">
        <w:rPr>
          <w:rFonts w:ascii="Trebuchet MS" w:hAnsi="Trebuchet MS"/>
          <w:sz w:val="18"/>
          <w:szCs w:val="18"/>
          <w:vertAlign w:val="subscript"/>
        </w:rPr>
        <w:t>4</w:t>
      </w:r>
      <w:r w:rsidR="00C50045" w:rsidRPr="00A27164">
        <w:rPr>
          <w:rFonts w:ascii="Trebuchet MS" w:hAnsi="Trebuchet MS"/>
          <w:sz w:val="18"/>
          <w:szCs w:val="18"/>
        </w:rPr>
        <w:t xml:space="preserve"> 0.1M. Blank: black line</w:t>
      </w:r>
      <w:proofErr w:type="gramStart"/>
      <w:r w:rsidR="00C50045" w:rsidRPr="00A27164">
        <w:rPr>
          <w:rFonts w:ascii="Trebuchet MS" w:hAnsi="Trebuchet MS"/>
          <w:sz w:val="18"/>
          <w:szCs w:val="18"/>
        </w:rPr>
        <w:t xml:space="preserve">, </w:t>
      </w:r>
      <w:r w:rsidR="00AC302E" w:rsidRPr="00A27164">
        <w:rPr>
          <w:rFonts w:ascii="Trebuchet MS" w:hAnsi="Trebuchet MS"/>
          <w:sz w:val="18"/>
          <w:szCs w:val="18"/>
        </w:rPr>
        <w:t xml:space="preserve"> </w:t>
      </w:r>
      <w:r w:rsidR="00A27164" w:rsidRPr="00A27164">
        <w:rPr>
          <w:rFonts w:ascii="Trebuchet MS" w:hAnsi="Trebuchet MS"/>
          <w:sz w:val="18"/>
          <w:szCs w:val="18"/>
        </w:rPr>
        <w:t>A</w:t>
      </w:r>
      <w:proofErr w:type="gramEnd"/>
      <w:r w:rsidR="00A27164" w:rsidRPr="00A27164">
        <w:rPr>
          <w:rFonts w:ascii="Trebuchet MS" w:hAnsi="Trebuchet MS"/>
          <w:sz w:val="18"/>
          <w:szCs w:val="18"/>
        </w:rPr>
        <w:t>)</w:t>
      </w:r>
      <w:r w:rsidR="004C2230">
        <w:rPr>
          <w:rFonts w:ascii="Trebuchet MS" w:hAnsi="Trebuchet MS"/>
          <w:sz w:val="18"/>
          <w:szCs w:val="18"/>
        </w:rPr>
        <w:t xml:space="preserve">, </w:t>
      </w:r>
      <w:r w:rsidR="00A27164">
        <w:rPr>
          <w:rFonts w:ascii="Trebuchet MS" w:hAnsi="Trebuchet MS"/>
          <w:sz w:val="18"/>
          <w:szCs w:val="18"/>
        </w:rPr>
        <w:t xml:space="preserve">B) </w:t>
      </w:r>
      <w:r w:rsidR="004C2230">
        <w:rPr>
          <w:rFonts w:ascii="Trebuchet MS" w:hAnsi="Trebuchet MS"/>
          <w:sz w:val="18"/>
          <w:szCs w:val="18"/>
        </w:rPr>
        <w:t xml:space="preserve">and </w:t>
      </w:r>
      <w:r w:rsidR="00A27164">
        <w:rPr>
          <w:rFonts w:ascii="Trebuchet MS" w:hAnsi="Trebuchet MS"/>
          <w:sz w:val="18"/>
          <w:szCs w:val="18"/>
        </w:rPr>
        <w:t xml:space="preserve">C) </w:t>
      </w:r>
      <w:r w:rsidR="004C2230">
        <w:rPr>
          <w:rFonts w:ascii="Trebuchet MS" w:hAnsi="Trebuchet MS"/>
          <w:sz w:val="18"/>
          <w:szCs w:val="18"/>
        </w:rPr>
        <w:t xml:space="preserve">Different </w:t>
      </w:r>
      <w:proofErr w:type="spellStart"/>
      <w:r w:rsidR="00A27164">
        <w:rPr>
          <w:rFonts w:ascii="Trebuchet MS" w:hAnsi="Trebuchet MS"/>
          <w:sz w:val="18"/>
          <w:szCs w:val="18"/>
        </w:rPr>
        <w:t>Nafion</w:t>
      </w:r>
      <w:proofErr w:type="spellEnd"/>
      <w:r w:rsidR="00A27164">
        <w:rPr>
          <w:rFonts w:ascii="Trebuchet MS" w:hAnsi="Trebuchet MS"/>
          <w:sz w:val="18"/>
          <w:szCs w:val="18"/>
        </w:rPr>
        <w:t xml:space="preserve"> </w:t>
      </w:r>
      <w:proofErr w:type="spellStart"/>
      <w:r w:rsidR="00A27164" w:rsidRPr="00A27164">
        <w:rPr>
          <w:rFonts w:ascii="Trebuchet MS" w:hAnsi="Trebuchet MS"/>
          <w:sz w:val="18"/>
          <w:szCs w:val="18"/>
        </w:rPr>
        <w:t>cover</w:t>
      </w:r>
      <w:r w:rsidR="00CE4A83">
        <w:rPr>
          <w:rFonts w:ascii="Trebuchet MS" w:hAnsi="Trebuchet MS"/>
          <w:sz w:val="18"/>
          <w:szCs w:val="18"/>
        </w:rPr>
        <w:t>age</w:t>
      </w:r>
      <w:r w:rsidR="004C2230">
        <w:rPr>
          <w:rFonts w:ascii="Trebuchet MS" w:hAnsi="Trebuchet MS"/>
          <w:sz w:val="18"/>
          <w:szCs w:val="18"/>
        </w:rPr>
        <w:t>s</w:t>
      </w:r>
      <w:proofErr w:type="spellEnd"/>
      <w:r w:rsidR="00BD615E">
        <w:rPr>
          <w:rFonts w:ascii="Trebuchet MS" w:hAnsi="Trebuchet MS"/>
          <w:sz w:val="18"/>
          <w:szCs w:val="18"/>
        </w:rPr>
        <w:t xml:space="preserve">. </w:t>
      </w:r>
      <w:r w:rsidR="00537C13">
        <w:rPr>
          <w:rFonts w:ascii="Trebuchet MS" w:hAnsi="Trebuchet MS"/>
          <w:sz w:val="18"/>
          <w:szCs w:val="18"/>
        </w:rPr>
        <w:t xml:space="preserve">Higher </w:t>
      </w:r>
      <w:proofErr w:type="spellStart"/>
      <w:r w:rsidR="00537C13">
        <w:rPr>
          <w:rFonts w:ascii="Trebuchet MS" w:hAnsi="Trebuchet MS"/>
          <w:sz w:val="18"/>
          <w:szCs w:val="18"/>
        </w:rPr>
        <w:t>Nafion</w:t>
      </w:r>
      <w:proofErr w:type="spellEnd"/>
      <w:r w:rsidR="00537C13">
        <w:rPr>
          <w:rFonts w:ascii="Trebuchet MS" w:hAnsi="Trebuchet MS"/>
          <w:sz w:val="18"/>
          <w:szCs w:val="18"/>
        </w:rPr>
        <w:t xml:space="preserve"> concentration implies</w:t>
      </w:r>
      <w:r w:rsidR="005F32C3">
        <w:rPr>
          <w:rFonts w:ascii="Trebuchet MS" w:hAnsi="Trebuchet MS"/>
          <w:sz w:val="18"/>
          <w:szCs w:val="18"/>
        </w:rPr>
        <w:t xml:space="preserve"> greater </w:t>
      </w:r>
      <w:r w:rsidR="00DD3085">
        <w:rPr>
          <w:rFonts w:ascii="Trebuchet MS" w:hAnsi="Trebuchet MS"/>
          <w:sz w:val="18"/>
          <w:szCs w:val="18"/>
        </w:rPr>
        <w:t>peak of SO</w:t>
      </w:r>
      <w:r w:rsidR="00DD3085" w:rsidRPr="00BD615E">
        <w:rPr>
          <w:rFonts w:ascii="Trebuchet MS" w:hAnsi="Trebuchet MS"/>
          <w:sz w:val="18"/>
          <w:szCs w:val="18"/>
          <w:vertAlign w:val="subscript"/>
        </w:rPr>
        <w:t>3</w:t>
      </w:r>
      <w:r w:rsidR="00DD3085">
        <w:rPr>
          <w:rFonts w:ascii="Trebuchet MS" w:hAnsi="Trebuchet MS"/>
          <w:sz w:val="18"/>
          <w:szCs w:val="18"/>
        </w:rPr>
        <w:t xml:space="preserve"> anion</w:t>
      </w:r>
      <w:r w:rsidR="005F32C3">
        <w:rPr>
          <w:rFonts w:ascii="Trebuchet MS" w:hAnsi="Trebuchet MS"/>
          <w:sz w:val="18"/>
          <w:szCs w:val="18"/>
        </w:rPr>
        <w:t xml:space="preserve"> adsorption</w:t>
      </w:r>
      <w:r w:rsidR="00537C13">
        <w:rPr>
          <w:rFonts w:ascii="Trebuchet MS" w:hAnsi="Trebuchet MS"/>
          <w:sz w:val="18"/>
          <w:szCs w:val="18"/>
        </w:rPr>
        <w:t xml:space="preserve"> </w:t>
      </w:r>
      <w:r w:rsidR="00DD3085">
        <w:rPr>
          <w:rFonts w:ascii="Trebuchet MS" w:hAnsi="Trebuchet MS"/>
          <w:sz w:val="18"/>
          <w:szCs w:val="18"/>
        </w:rPr>
        <w:t>at 0.48V, therefore</w:t>
      </w:r>
      <w:r w:rsidR="004C3AF3">
        <w:rPr>
          <w:rFonts w:ascii="Trebuchet MS" w:hAnsi="Trebuchet MS"/>
          <w:sz w:val="18"/>
          <w:szCs w:val="18"/>
        </w:rPr>
        <w:t xml:space="preserve"> the adsorpt</w:t>
      </w:r>
      <w:r w:rsidR="00DD3085">
        <w:rPr>
          <w:rFonts w:ascii="Trebuchet MS" w:hAnsi="Trebuchet MS"/>
          <w:sz w:val="18"/>
          <w:szCs w:val="18"/>
        </w:rPr>
        <w:t>ion of OH</w:t>
      </w:r>
      <w:r w:rsidR="00BD615E">
        <w:rPr>
          <w:rFonts w:ascii="Trebuchet MS" w:hAnsi="Trebuchet MS"/>
          <w:sz w:val="18"/>
          <w:szCs w:val="18"/>
        </w:rPr>
        <w:t xml:space="preserve"> starting at 0.55V</w:t>
      </w:r>
      <w:r w:rsidR="00DD3085">
        <w:rPr>
          <w:rFonts w:ascii="Trebuchet MS" w:hAnsi="Trebuchet MS"/>
          <w:sz w:val="18"/>
          <w:szCs w:val="18"/>
        </w:rPr>
        <w:t xml:space="preserve"> decreases.</w:t>
      </w:r>
      <w:r w:rsidR="004C2230">
        <w:rPr>
          <w:rFonts w:ascii="Trebuchet MS" w:hAnsi="Trebuchet MS"/>
          <w:sz w:val="18"/>
          <w:szCs w:val="18"/>
        </w:rPr>
        <w:t xml:space="preserve"> The H adsorption </w:t>
      </w:r>
      <w:r w:rsidR="00CE4A83">
        <w:rPr>
          <w:rFonts w:ascii="Trebuchet MS" w:hAnsi="Trebuchet MS"/>
          <w:sz w:val="18"/>
          <w:szCs w:val="18"/>
        </w:rPr>
        <w:t xml:space="preserve">region </w:t>
      </w:r>
      <w:r w:rsidR="004C2230">
        <w:rPr>
          <w:rFonts w:ascii="Trebuchet MS" w:hAnsi="Trebuchet MS"/>
          <w:sz w:val="18"/>
          <w:szCs w:val="18"/>
        </w:rPr>
        <w:t xml:space="preserve">from 0.06 to 0.34V remains </w:t>
      </w:r>
      <w:r w:rsidR="00CE4A83">
        <w:rPr>
          <w:rFonts w:ascii="Trebuchet MS" w:hAnsi="Trebuchet MS"/>
          <w:sz w:val="18"/>
          <w:szCs w:val="18"/>
        </w:rPr>
        <w:t>invariant</w:t>
      </w:r>
      <w:r w:rsidR="004C2230">
        <w:rPr>
          <w:rFonts w:ascii="Trebuchet MS" w:hAnsi="Trebuchet MS"/>
          <w:sz w:val="18"/>
          <w:szCs w:val="18"/>
        </w:rPr>
        <w:t>.</w:t>
      </w:r>
    </w:p>
    <w:sectPr w:rsidR="008D4E68" w:rsidRPr="00A27164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18A" w:rsidRDefault="00E8418A">
      <w:pPr>
        <w:spacing w:after="0" w:line="240" w:lineRule="auto"/>
      </w:pPr>
      <w:r>
        <w:separator/>
      </w:r>
    </w:p>
  </w:endnote>
  <w:endnote w:type="continuationSeparator" w:id="0">
    <w:p w:rsidR="00E8418A" w:rsidRDefault="00E84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91D" w:rsidRDefault="00EB691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9" behindDoc="1" locked="0" layoutInCell="0" allowOverlap="1">
              <wp:simplePos x="0" y="0"/>
              <wp:positionH relativeFrom="margin">
                <wp:align>left</wp:align>
              </wp:positionH>
              <wp:positionV relativeFrom="paragraph">
                <wp:posOffset>-87630</wp:posOffset>
              </wp:positionV>
              <wp:extent cx="5400040" cy="635"/>
              <wp:effectExtent l="635" t="3175" r="0" b="3175"/>
              <wp:wrapNone/>
              <wp:docPr id="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000" cy="72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6391D5DA" id="Conector recto 1" o:spid="_x0000_s1026" style="position:absolute;z-index:-503316471;visibility:visible;mso-wrap-style:square;mso-wrap-distance-left:0;mso-wrap-distance-top:0;mso-wrap-distance-right:0;mso-wrap-distance-bottom:0;mso-position-horizontal:left;mso-position-horizontal-relative:margin;mso-position-vertical:absolute;mso-position-vertical-relative:text" from="0,-6.9pt" to="425.2pt,-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" o:allowincell="f" strokeweight=".18mm">
              <v:stroke joinstyle="miter"/>
              <w10:wrap anchorx="margin"/>
            </v:line>
          </w:pict>
        </mc:Fallback>
      </mc:AlternateContent>
    </w:r>
  </w:p>
  <w:p w:rsidR="00EB691D" w:rsidRDefault="00EB69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18A" w:rsidRDefault="00E8418A">
      <w:pPr>
        <w:spacing w:after="0" w:line="240" w:lineRule="auto"/>
      </w:pPr>
      <w:r>
        <w:separator/>
      </w:r>
    </w:p>
  </w:footnote>
  <w:footnote w:type="continuationSeparator" w:id="0">
    <w:p w:rsidR="00E8418A" w:rsidRDefault="00E84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91D" w:rsidRDefault="00EB691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posOffset>1582420</wp:posOffset>
              </wp:positionH>
              <wp:positionV relativeFrom="paragraph">
                <wp:posOffset>90170</wp:posOffset>
              </wp:positionV>
              <wp:extent cx="3766820" cy="923925"/>
              <wp:effectExtent l="0" t="635" r="0" b="0"/>
              <wp:wrapNone/>
              <wp:docPr id="2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66680" cy="9237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B691D" w:rsidRPr="008A3D17" w:rsidRDefault="00EB691D">
                          <w:pPr>
                            <w:pStyle w:val="FrameContents"/>
                            <w:jc w:val="center"/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:lang w:val="es-ES"/>
                            </w:rPr>
                          </w:pPr>
                          <w:r w:rsidRPr="008A3D17"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  <w:lang w:val="es-ES"/>
                            </w:rPr>
                            <w:t>XLIII Reunión del Grupo Especializado de Electroquímica de la RSEQ (43 GERSEQ 2022)</w:t>
                          </w:r>
                        </w:p>
                        <w:p w:rsidR="00EB691D" w:rsidRDefault="00EB691D">
                          <w:pPr>
                            <w:pStyle w:val="FrameContents"/>
                            <w:jc w:val="center"/>
                          </w:pPr>
                          <w:r>
                            <w:rPr>
                              <w:rFonts w:ascii="Trebuchet MS" w:hAnsi="Trebuchet MS"/>
                              <w:b/>
                              <w:bCs/>
                              <w:sz w:val="24"/>
                              <w:szCs w:val="24"/>
                            </w:rPr>
                            <w:t>Ciudad Real, 3-5 Julio 2023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rect id="Cuadro de texto 3" o:spid="_x0000_s1026" style="position:absolute;margin-left:124.6pt;margin-top:7.1pt;width:296.6pt;height:72.75pt;z-index:-50331647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" o:allowincell="f" filled="f" stroked="f" strokeweight=".18mm">
              <v:textbox>
                <w:txbxContent>
                  <w:p w:rsidR="00EB691D" w:rsidRPr="008A3D17" w:rsidRDefault="00EB691D">
                    <w:pPr>
                      <w:pStyle w:val="FrameContents"/>
                      <w:jc w:val="center"/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:lang w:val="es-ES"/>
                      </w:rPr>
                    </w:pPr>
                    <w:r w:rsidRPr="008A3D17"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  <w:lang w:val="es-ES"/>
                      </w:rPr>
                      <w:t>XLIII Reunión del Grupo Especializado de Electroquímica de la RSEQ (43 GERSEQ 2022)</w:t>
                    </w:r>
                  </w:p>
                  <w:p w:rsidR="00EB691D" w:rsidRDefault="00EB691D">
                    <w:pPr>
                      <w:pStyle w:val="FrameContents"/>
                      <w:jc w:val="center"/>
                    </w:pPr>
                    <w:r>
                      <w:rPr>
                        <w:rFonts w:ascii="Trebuchet MS" w:hAnsi="Trebuchet MS"/>
                        <w:b/>
                        <w:bCs/>
                        <w:sz w:val="24"/>
                        <w:szCs w:val="24"/>
                      </w:rPr>
                      <w:t>Ciudad Real, 3-5 Julio 2023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t xml:space="preserve">          </w:t>
    </w:r>
    <w:r>
      <w:rPr>
        <w:noProof/>
        <w:lang w:val="es-ES" w:eastAsia="es-ES"/>
      </w:rPr>
      <w:drawing>
        <wp:inline distT="0" distB="0" distL="0" distR="0">
          <wp:extent cx="943610" cy="100901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43610" cy="1009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B691D" w:rsidRDefault="00EB691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7" behindDoc="1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82550</wp:posOffset>
              </wp:positionV>
              <wp:extent cx="5400040" cy="0"/>
              <wp:effectExtent l="635" t="3810" r="0" b="3810"/>
              <wp:wrapNone/>
              <wp:docPr id="5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000" cy="0"/>
                      </a:xfrm>
                      <a:prstGeom prst="line">
                        <a:avLst/>
                      </a:prstGeom>
                      <a:ln w="648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ABE8B11" id="Conector recto 2" o:spid="_x0000_s1026" style="position:absolute;z-index:-50331647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" from="374pt,6.5pt" to="799.2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" o:allowincell="f" strokeweight=".18mm">
              <v:stroke joinstyle="miter"/>
              <w10:wrap anchorx="margin"/>
            </v:line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ICTOR J CLIMENT PAYA">
    <w15:presenceInfo w15:providerId="None" w15:userId="VICTOR J CLIMENT PAY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4E68"/>
    <w:rsid w:val="000336FC"/>
    <w:rsid w:val="000C39BA"/>
    <w:rsid w:val="000E4F93"/>
    <w:rsid w:val="00127EED"/>
    <w:rsid w:val="0013194E"/>
    <w:rsid w:val="00156242"/>
    <w:rsid w:val="0019262A"/>
    <w:rsid w:val="001C0A4A"/>
    <w:rsid w:val="002E286A"/>
    <w:rsid w:val="002F7CC8"/>
    <w:rsid w:val="003C429F"/>
    <w:rsid w:val="004625F7"/>
    <w:rsid w:val="00497F58"/>
    <w:rsid w:val="004C2230"/>
    <w:rsid w:val="004C3AF3"/>
    <w:rsid w:val="00537C13"/>
    <w:rsid w:val="005F32C3"/>
    <w:rsid w:val="006047F6"/>
    <w:rsid w:val="006676E1"/>
    <w:rsid w:val="0069238A"/>
    <w:rsid w:val="006B0092"/>
    <w:rsid w:val="00720962"/>
    <w:rsid w:val="00780FE7"/>
    <w:rsid w:val="007D65C2"/>
    <w:rsid w:val="008A3D17"/>
    <w:rsid w:val="008D1F70"/>
    <w:rsid w:val="008D4E68"/>
    <w:rsid w:val="00A161C9"/>
    <w:rsid w:val="00A27164"/>
    <w:rsid w:val="00AC302E"/>
    <w:rsid w:val="00B15E58"/>
    <w:rsid w:val="00BD615E"/>
    <w:rsid w:val="00C50045"/>
    <w:rsid w:val="00CE4A83"/>
    <w:rsid w:val="00D40185"/>
    <w:rsid w:val="00DD3085"/>
    <w:rsid w:val="00E8418A"/>
    <w:rsid w:val="00EB63F8"/>
    <w:rsid w:val="00EB691D"/>
    <w:rsid w:val="00E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ahoma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qFormat/>
  </w:style>
  <w:style w:type="character" w:customStyle="1" w:styleId="PiedepginaCar">
    <w:name w:val="Pie de página Car"/>
    <w:basedOn w:val="Fuentedeprrafopredeter"/>
    <w:link w:val="Piedepgina"/>
    <w:qFormat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3D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3D17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orca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Ismael Fernández Mena</dc:creator>
  <cp:lastModifiedBy>vg</cp:lastModifiedBy>
  <cp:revision>54</cp:revision>
  <cp:lastPrinted>2023-05-22T10:09:00Z</cp:lastPrinted>
  <dcterms:created xsi:type="dcterms:W3CDTF">2023-04-27T10:27:00Z</dcterms:created>
  <dcterms:modified xsi:type="dcterms:W3CDTF">2023-05-22T20:15:00Z</dcterms:modified>
  <dc:language>es-ES</dc:language>
</cp:coreProperties>
</file>