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59C81" w14:textId="77777777" w:rsidR="007A5FA7" w:rsidRDefault="007A5FA7" w:rsidP="007A5FA7">
      <w:pPr>
        <w:pStyle w:val="Default"/>
      </w:pPr>
    </w:p>
    <w:p w14:paraId="536A9419" w14:textId="211BE722" w:rsidR="00A935BE" w:rsidRDefault="007A5FA7" w:rsidP="00A935BE">
      <w:pPr>
        <w:jc w:val="center"/>
        <w:rPr>
          <w:rFonts w:ascii="Garamond" w:hAnsi="Garamond" w:cs="Arial"/>
          <w:b/>
          <w:bCs/>
          <w:sz w:val="28"/>
          <w:szCs w:val="28"/>
          <w:lang w:val="es-ES"/>
        </w:rPr>
      </w:pPr>
      <w:r w:rsidRPr="007A5FA7">
        <w:rPr>
          <w:lang w:val="es-ES"/>
        </w:rPr>
        <w:t xml:space="preserve"> </w:t>
      </w:r>
      <w:r w:rsidRPr="007A5FA7">
        <w:rPr>
          <w:b/>
          <w:bCs/>
          <w:color w:val="535353"/>
          <w:sz w:val="18"/>
          <w:szCs w:val="18"/>
          <w:lang w:val="es-ES"/>
        </w:rPr>
        <w:t xml:space="preserve">Materiales para la Conversión y Acumulación de Energía </w:t>
      </w:r>
    </w:p>
    <w:p w14:paraId="220C81BE" w14:textId="1F93BB00" w:rsidR="00A935BE" w:rsidRPr="00A935BE" w:rsidRDefault="00A935BE" w:rsidP="00321584">
      <w:pPr>
        <w:spacing w:line="276" w:lineRule="auto"/>
        <w:jc w:val="center"/>
        <w:rPr>
          <w:rFonts w:ascii="Garamond" w:hAnsi="Garamond"/>
          <w:color w:val="000000"/>
          <w:sz w:val="24"/>
          <w:szCs w:val="24"/>
          <w:lang w:val="es-ES"/>
        </w:rPr>
      </w:pPr>
      <w:r w:rsidRPr="00A935BE">
        <w:rPr>
          <w:rFonts w:ascii="Garamond" w:hAnsi="Garamond"/>
          <w:color w:val="000000"/>
          <w:sz w:val="24"/>
          <w:szCs w:val="24"/>
          <w:lang w:val="es-ES"/>
        </w:rPr>
        <w:t>J. González-Morales</w:t>
      </w:r>
    </w:p>
    <w:p w14:paraId="54DA1C15" w14:textId="0179B37D" w:rsidR="00A935BE" w:rsidRDefault="00A935BE" w:rsidP="00321584">
      <w:pPr>
        <w:spacing w:line="276" w:lineRule="auto"/>
        <w:jc w:val="center"/>
        <w:rPr>
          <w:rFonts w:ascii="Garamond" w:hAnsi="Garamond"/>
          <w:iCs/>
          <w:sz w:val="22"/>
          <w:szCs w:val="22"/>
          <w:lang w:val="es-ES"/>
        </w:rPr>
      </w:pPr>
      <w:r w:rsidRPr="00A935BE">
        <w:rPr>
          <w:rFonts w:ascii="Garamond" w:hAnsi="Garamond"/>
          <w:iCs/>
          <w:sz w:val="22"/>
          <w:szCs w:val="22"/>
          <w:lang w:val="es-ES"/>
        </w:rPr>
        <w:t xml:space="preserve">Instituto de Cerámica y Vidrio (ICV-CSIC), </w:t>
      </w:r>
      <w:r w:rsidRPr="00A935BE">
        <w:rPr>
          <w:rFonts w:ascii="Garamond" w:hAnsi="Garamond"/>
          <w:iCs/>
          <w:color w:val="000000"/>
          <w:sz w:val="22"/>
          <w:szCs w:val="22"/>
          <w:lang w:val="es-ES"/>
        </w:rPr>
        <w:t>Kelsen 5,</w:t>
      </w:r>
      <w:r w:rsidRPr="00A935BE">
        <w:rPr>
          <w:rFonts w:ascii="Garamond" w:hAnsi="Garamond"/>
          <w:iCs/>
          <w:sz w:val="22"/>
          <w:szCs w:val="22"/>
          <w:lang w:val="es-ES"/>
        </w:rPr>
        <w:t xml:space="preserve"> 28049, Madrid, Spain</w:t>
      </w:r>
    </w:p>
    <w:p w14:paraId="0ABC2E49" w14:textId="2061E771" w:rsidR="00257660" w:rsidRDefault="006E5DFF" w:rsidP="00321584">
      <w:pPr>
        <w:spacing w:line="276" w:lineRule="auto"/>
        <w:jc w:val="center"/>
        <w:rPr>
          <w:rFonts w:ascii="Garamond" w:hAnsi="Garamond"/>
          <w:iCs/>
          <w:sz w:val="22"/>
          <w:szCs w:val="22"/>
          <w:lang w:val="es-ES"/>
        </w:rPr>
      </w:pPr>
      <w:r w:rsidRPr="00321584">
        <w:rPr>
          <w:rFonts w:ascii="Garamond" w:hAnsi="Garamond"/>
          <w:iCs/>
          <w:sz w:val="22"/>
          <w:szCs w:val="22"/>
          <w:lang w:val="es-ES"/>
        </w:rPr>
        <w:t>Jorge.gonzalez.morales@csic.es</w:t>
      </w:r>
    </w:p>
    <w:p w14:paraId="6D180A47" w14:textId="756C10D0" w:rsidR="00257660" w:rsidRDefault="00257660" w:rsidP="00A935BE">
      <w:pPr>
        <w:spacing w:line="276" w:lineRule="auto"/>
        <w:jc w:val="both"/>
        <w:rPr>
          <w:rFonts w:ascii="Garamond" w:hAnsi="Garamond"/>
          <w:iCs/>
          <w:sz w:val="22"/>
          <w:szCs w:val="22"/>
          <w:lang w:val="es-ES"/>
        </w:rPr>
      </w:pPr>
    </w:p>
    <w:p w14:paraId="0F647A11" w14:textId="460659FF" w:rsidR="00445100" w:rsidRDefault="00445100" w:rsidP="00445100">
      <w:pPr>
        <w:spacing w:line="276" w:lineRule="auto"/>
        <w:jc w:val="both"/>
        <w:rPr>
          <w:rFonts w:ascii="Garamond" w:hAnsi="Garamond"/>
          <w:iCs/>
          <w:color w:val="000000"/>
          <w:sz w:val="24"/>
          <w:szCs w:val="24"/>
          <w:lang w:val="es-ES"/>
        </w:rPr>
      </w:pPr>
      <w:r w:rsidRPr="00445100">
        <w:rPr>
          <w:rFonts w:ascii="Garamond" w:hAnsi="Garamond"/>
          <w:b/>
          <w:bCs/>
          <w:iCs/>
          <w:color w:val="000000"/>
          <w:sz w:val="24"/>
          <w:szCs w:val="24"/>
          <w:lang w:val="es-ES"/>
        </w:rPr>
        <w:t>Mentor:</w:t>
      </w:r>
      <w:r>
        <w:rPr>
          <w:rFonts w:ascii="Garamond" w:hAnsi="Garamond"/>
          <w:iCs/>
          <w:color w:val="000000"/>
          <w:sz w:val="24"/>
          <w:szCs w:val="24"/>
          <w:lang w:val="es-ES"/>
        </w:rPr>
        <w:t xml:space="preserve"> </w:t>
      </w:r>
      <w:r w:rsidRPr="006E5DFF">
        <w:rPr>
          <w:rFonts w:ascii="Garamond" w:hAnsi="Garamond"/>
          <w:iCs/>
          <w:color w:val="000000"/>
          <w:sz w:val="24"/>
          <w:szCs w:val="24"/>
          <w:lang w:val="es-ES"/>
        </w:rPr>
        <w:t>Pilar Herrasti González</w:t>
      </w:r>
      <w:r>
        <w:rPr>
          <w:rFonts w:ascii="Garamond" w:hAnsi="Garamond"/>
          <w:iCs/>
          <w:color w:val="000000"/>
          <w:sz w:val="24"/>
          <w:szCs w:val="24"/>
          <w:lang w:val="es-ES"/>
        </w:rPr>
        <w:t>. Universidad Autónoma de Madrid</w:t>
      </w:r>
      <w:r>
        <w:rPr>
          <w:rFonts w:ascii="Garamond" w:hAnsi="Garamond"/>
          <w:iCs/>
          <w:color w:val="000000"/>
          <w:sz w:val="24"/>
          <w:szCs w:val="24"/>
          <w:lang w:val="es-ES"/>
        </w:rPr>
        <w:t>)</w:t>
      </w:r>
    </w:p>
    <w:p w14:paraId="4BE0E5A9" w14:textId="53C95504" w:rsidR="00257660" w:rsidRPr="006E5DFF" w:rsidRDefault="00257660" w:rsidP="00257660">
      <w:pPr>
        <w:spacing w:line="276" w:lineRule="auto"/>
        <w:jc w:val="both"/>
        <w:rPr>
          <w:rFonts w:ascii="Garamond" w:hAnsi="Garamond"/>
          <w:iCs/>
          <w:color w:val="000000"/>
          <w:sz w:val="24"/>
          <w:szCs w:val="24"/>
          <w:lang w:val="es-ES"/>
        </w:rPr>
      </w:pPr>
      <w:proofErr w:type="spellStart"/>
      <w:r w:rsidRPr="006E5DFF">
        <w:rPr>
          <w:rFonts w:ascii="Garamond" w:hAnsi="Garamond"/>
          <w:iCs/>
          <w:color w:val="000000"/>
          <w:sz w:val="24"/>
          <w:szCs w:val="24"/>
          <w:lang w:val="es-ES"/>
        </w:rPr>
        <w:t>Director</w:t>
      </w:r>
      <w:r w:rsidR="00445100">
        <w:rPr>
          <w:rFonts w:ascii="Garamond" w:hAnsi="Garamond"/>
          <w:iCs/>
          <w:color w:val="000000"/>
          <w:sz w:val="24"/>
          <w:szCs w:val="24"/>
          <w:lang w:val="es-ES"/>
        </w:rPr>
        <w:t>s</w:t>
      </w:r>
      <w:proofErr w:type="spellEnd"/>
      <w:r w:rsidR="00C425C6">
        <w:rPr>
          <w:rFonts w:ascii="Garamond" w:hAnsi="Garamond"/>
          <w:iCs/>
          <w:color w:val="000000"/>
          <w:sz w:val="24"/>
          <w:szCs w:val="24"/>
          <w:lang w:val="es-ES"/>
        </w:rPr>
        <w:t xml:space="preserve">: </w:t>
      </w:r>
      <w:r w:rsidRPr="006E5DFF">
        <w:rPr>
          <w:rFonts w:ascii="Garamond" w:hAnsi="Garamond"/>
          <w:iCs/>
          <w:color w:val="000000"/>
          <w:sz w:val="24"/>
          <w:szCs w:val="24"/>
          <w:lang w:val="es-ES"/>
        </w:rPr>
        <w:t>Mario Aparicio</w:t>
      </w:r>
      <w:r w:rsidR="00445100">
        <w:rPr>
          <w:rFonts w:ascii="Garamond" w:hAnsi="Garamond"/>
          <w:iCs/>
          <w:color w:val="000000"/>
          <w:sz w:val="24"/>
          <w:szCs w:val="24"/>
          <w:lang w:val="es-ES"/>
        </w:rPr>
        <w:t xml:space="preserve"> and </w:t>
      </w:r>
      <w:proofErr w:type="spellStart"/>
      <w:r w:rsidR="00445100" w:rsidRPr="006E5DFF">
        <w:rPr>
          <w:rFonts w:ascii="Garamond" w:hAnsi="Garamond"/>
          <w:iCs/>
          <w:color w:val="000000"/>
          <w:sz w:val="24"/>
          <w:szCs w:val="24"/>
          <w:lang w:val="es-ES"/>
        </w:rPr>
        <w:t>Jadra</w:t>
      </w:r>
      <w:proofErr w:type="spellEnd"/>
      <w:r w:rsidR="00445100" w:rsidRPr="006E5DFF">
        <w:rPr>
          <w:rFonts w:ascii="Garamond" w:hAnsi="Garamond"/>
          <w:iCs/>
          <w:color w:val="000000"/>
          <w:sz w:val="24"/>
          <w:szCs w:val="24"/>
          <w:lang w:val="es-ES"/>
        </w:rPr>
        <w:t xml:space="preserve"> Mosa</w:t>
      </w:r>
      <w:r w:rsidR="00445100">
        <w:rPr>
          <w:rFonts w:ascii="Garamond" w:hAnsi="Garamond"/>
          <w:iCs/>
          <w:color w:val="000000"/>
          <w:sz w:val="24"/>
          <w:szCs w:val="24"/>
          <w:lang w:val="es-ES"/>
        </w:rPr>
        <w:t xml:space="preserve">; </w:t>
      </w:r>
      <w:r w:rsidRPr="006E5DFF">
        <w:rPr>
          <w:rFonts w:ascii="Garamond" w:hAnsi="Garamond"/>
          <w:iCs/>
          <w:color w:val="000000"/>
          <w:sz w:val="24"/>
          <w:szCs w:val="24"/>
          <w:lang w:val="es-ES"/>
        </w:rPr>
        <w:t>Instituto de Cerámica y Vidrio (CSIC)</w:t>
      </w:r>
    </w:p>
    <w:p w14:paraId="0A68E04D" w14:textId="77777777" w:rsidR="00A935BE" w:rsidRPr="00C425C6" w:rsidRDefault="00A935BE" w:rsidP="00A935BE">
      <w:pPr>
        <w:jc w:val="center"/>
        <w:rPr>
          <w:rFonts w:asciiTheme="minorHAnsi" w:hAnsiTheme="minorHAnsi"/>
          <w:b/>
          <w:bCs/>
          <w:sz w:val="28"/>
          <w:szCs w:val="28"/>
          <w:lang w:val="es-ES"/>
        </w:rPr>
      </w:pPr>
    </w:p>
    <w:p w14:paraId="47E30EF0" w14:textId="77777777" w:rsidR="002C3757" w:rsidRPr="006E5DFF" w:rsidRDefault="002C3757" w:rsidP="002C3757">
      <w:pPr>
        <w:jc w:val="both"/>
        <w:rPr>
          <w:rFonts w:ascii="Garamond" w:hAnsi="Garamond"/>
          <w:bCs/>
          <w:sz w:val="24"/>
          <w:szCs w:val="22"/>
          <w:lang w:val="en-GB"/>
        </w:rPr>
      </w:pPr>
      <w:r w:rsidRPr="006E5DFF">
        <w:rPr>
          <w:rFonts w:ascii="Garamond" w:hAnsi="Garamond"/>
          <w:bCs/>
          <w:sz w:val="24"/>
          <w:szCs w:val="22"/>
          <w:lang w:val="en-GB"/>
        </w:rPr>
        <w:t>The high energy demand and its constant increase in the specific power and energy demanded for batteries used in automotive and other industrial processes has led to a great interest in the development of new metal-oxygen batteries.</w:t>
      </w:r>
    </w:p>
    <w:p w14:paraId="6CC0DEEF" w14:textId="77777777" w:rsidR="002C3757" w:rsidRPr="006E5DFF" w:rsidRDefault="002C3757" w:rsidP="002C3757">
      <w:pPr>
        <w:jc w:val="both"/>
        <w:rPr>
          <w:rFonts w:ascii="Garamond" w:hAnsi="Garamond"/>
          <w:bCs/>
          <w:sz w:val="24"/>
          <w:szCs w:val="22"/>
          <w:lang w:val="en-GB"/>
        </w:rPr>
      </w:pPr>
    </w:p>
    <w:p w14:paraId="34AA55EC" w14:textId="71042D46" w:rsidR="00C425C6" w:rsidRPr="006E5DFF" w:rsidRDefault="002C3757" w:rsidP="002C3757">
      <w:pPr>
        <w:jc w:val="both"/>
        <w:rPr>
          <w:rFonts w:ascii="Garamond" w:hAnsi="Garamond"/>
          <w:bCs/>
          <w:sz w:val="24"/>
          <w:szCs w:val="22"/>
          <w:lang w:val="en-GB"/>
        </w:rPr>
      </w:pPr>
      <w:r w:rsidRPr="006E5DFF">
        <w:rPr>
          <w:rFonts w:ascii="Garamond" w:hAnsi="Garamond"/>
          <w:bCs/>
          <w:sz w:val="24"/>
          <w:szCs w:val="22"/>
          <w:lang w:val="en-GB"/>
        </w:rPr>
        <w:t xml:space="preserve">In metal-oxygen batteries, oxidation and reduction reactions allow a theoretical increase of up to an order of magnitude in stored energy compared to the most optimized lithium-ion batteries. In addition, they offer other significant advantages allowing a more efficient use of strategic materials and significantly increasing operational safety, since conventional lithium-ion batteries require organic electrolytes. </w:t>
      </w:r>
    </w:p>
    <w:p w14:paraId="1F5E7055" w14:textId="2BC7C23A" w:rsidR="002C3757" w:rsidRPr="006E5DFF" w:rsidRDefault="002C3757" w:rsidP="002C3757">
      <w:pPr>
        <w:jc w:val="both"/>
        <w:rPr>
          <w:rFonts w:ascii="Garamond" w:hAnsi="Garamond"/>
          <w:bCs/>
          <w:sz w:val="24"/>
          <w:szCs w:val="22"/>
          <w:lang w:val="en-GB"/>
        </w:rPr>
      </w:pPr>
      <w:r w:rsidRPr="006E5DFF">
        <w:rPr>
          <w:rFonts w:ascii="Garamond" w:hAnsi="Garamond"/>
          <w:bCs/>
          <w:sz w:val="24"/>
          <w:szCs w:val="22"/>
          <w:lang w:val="en-GB"/>
        </w:rPr>
        <w:t>The chemical reactions of these batteries are based on the principle that during discharge the metal forming the anode is oxidized and the oxygen is reduced (oxygen reduction reaction, ORR), forming oxides and hydroxides as products, according to the type of electrolyte. During the charge the reverse reactions take place leading to the reduction of the products formed to regenerate the metal and obtain oxygen (oxygen evolution reaction, OER).</w:t>
      </w:r>
    </w:p>
    <w:p w14:paraId="05082095" w14:textId="77777777" w:rsidR="002C3757" w:rsidRPr="006E5DFF" w:rsidRDefault="002C3757" w:rsidP="002C3757">
      <w:pPr>
        <w:jc w:val="both"/>
        <w:rPr>
          <w:rFonts w:ascii="Garamond" w:hAnsi="Garamond"/>
          <w:bCs/>
          <w:sz w:val="24"/>
          <w:szCs w:val="22"/>
          <w:lang w:val="en-GB"/>
        </w:rPr>
      </w:pPr>
    </w:p>
    <w:p w14:paraId="23D6B458" w14:textId="77777777" w:rsidR="002C3757" w:rsidRPr="006E5DFF" w:rsidRDefault="002C3757" w:rsidP="002C3757">
      <w:pPr>
        <w:jc w:val="both"/>
        <w:rPr>
          <w:rFonts w:ascii="Garamond" w:hAnsi="Garamond"/>
          <w:bCs/>
          <w:sz w:val="24"/>
          <w:szCs w:val="22"/>
          <w:lang w:val="en-GB"/>
        </w:rPr>
      </w:pPr>
      <w:r w:rsidRPr="006E5DFF">
        <w:rPr>
          <w:rFonts w:ascii="Garamond" w:hAnsi="Garamond"/>
          <w:bCs/>
          <w:sz w:val="24"/>
          <w:szCs w:val="22"/>
          <w:lang w:val="en-GB"/>
        </w:rPr>
        <w:t>The cathode in metal-oxygen batteries consists of a porous substrate, generally based on carbon, to which a catalyst material based on platinum group metals is incorporated together with additives to improve electrical conductivity, organic compounds to bind catalyst and support (binder) and alcohols to perform as solvents. However, recent studies have shown that carbon is unstable if certain discharge products are present at certain potentials depending on the configuration of the system, drastically reducing the operability and useful life of the battery.</w:t>
      </w:r>
    </w:p>
    <w:p w14:paraId="7ED160FE" w14:textId="77777777" w:rsidR="002C3757" w:rsidRPr="006E5DFF" w:rsidRDefault="002C3757" w:rsidP="002C3757">
      <w:pPr>
        <w:jc w:val="both"/>
        <w:rPr>
          <w:rFonts w:ascii="Garamond" w:hAnsi="Garamond"/>
          <w:bCs/>
          <w:sz w:val="24"/>
          <w:szCs w:val="22"/>
          <w:lang w:val="en-GB"/>
        </w:rPr>
      </w:pPr>
    </w:p>
    <w:p w14:paraId="670F9A89" w14:textId="36C95AFD" w:rsidR="00242ED2" w:rsidRPr="006E5DFF" w:rsidRDefault="00C425C6" w:rsidP="002C3757">
      <w:pPr>
        <w:jc w:val="both"/>
        <w:rPr>
          <w:rFonts w:ascii="Garamond" w:hAnsi="Garamond"/>
          <w:bCs/>
          <w:sz w:val="24"/>
          <w:szCs w:val="22"/>
          <w:lang w:val="en-GB"/>
        </w:rPr>
      </w:pPr>
      <w:r>
        <w:rPr>
          <w:rFonts w:ascii="Garamond" w:hAnsi="Garamond"/>
          <w:bCs/>
          <w:sz w:val="24"/>
          <w:szCs w:val="22"/>
          <w:lang w:val="en-GB"/>
        </w:rPr>
        <w:t>T</w:t>
      </w:r>
      <w:r w:rsidR="002C3757" w:rsidRPr="006E5DFF">
        <w:rPr>
          <w:rFonts w:ascii="Garamond" w:hAnsi="Garamond"/>
          <w:bCs/>
          <w:sz w:val="24"/>
          <w:szCs w:val="22"/>
          <w:lang w:val="en-GB"/>
        </w:rPr>
        <w:t xml:space="preserve">he Research Plan addresses the development of new porous catalysts for the cathode of metal-oxygen batteries based on nitrides, oxy-nitrides, oxy-nitrides-carbides of six possible transition metals: </w:t>
      </w:r>
      <w:proofErr w:type="spellStart"/>
      <w:r w:rsidR="002C3757" w:rsidRPr="006E5DFF">
        <w:rPr>
          <w:rFonts w:ascii="Garamond" w:hAnsi="Garamond"/>
          <w:bCs/>
          <w:sz w:val="24"/>
          <w:szCs w:val="22"/>
          <w:lang w:val="en-GB"/>
        </w:rPr>
        <w:t>Ti</w:t>
      </w:r>
      <w:proofErr w:type="spellEnd"/>
      <w:r w:rsidR="002C3757" w:rsidRPr="006E5DFF">
        <w:rPr>
          <w:rFonts w:ascii="Garamond" w:hAnsi="Garamond"/>
          <w:bCs/>
          <w:sz w:val="24"/>
          <w:szCs w:val="22"/>
          <w:lang w:val="en-GB"/>
        </w:rPr>
        <w:t>, Zr, Mo, Mn, Fe, Ta. These catalysts will also be incorporated into nickel foams that will replace the carbon substrate. Finally, a complete morphological, chemical and structural characterization of all the materials will be carried out in order to optimize their properties and apply them as cathodes in non-aqueous lithium-oxygen batteries and aqueous zinc-oxygen batteries.</w:t>
      </w:r>
    </w:p>
    <w:p w14:paraId="0061F590" w14:textId="5468982E" w:rsidR="00E00E7B" w:rsidRPr="006E5DFF" w:rsidRDefault="00E00E7B" w:rsidP="00D62846">
      <w:pPr>
        <w:jc w:val="both"/>
        <w:rPr>
          <w:rFonts w:ascii="Garamond" w:hAnsi="Garamond"/>
          <w:sz w:val="24"/>
          <w:szCs w:val="24"/>
          <w:lang w:val="en-GB"/>
        </w:rPr>
      </w:pPr>
    </w:p>
    <w:sectPr w:rsidR="00E00E7B" w:rsidRPr="006E5DFF" w:rsidSect="00167994">
      <w:headerReference w:type="default" r:id="rId8"/>
      <w:footerReference w:type="default" r:id="rId9"/>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BEFBF" w14:textId="77777777" w:rsidR="00257935" w:rsidRDefault="00257935">
      <w:r>
        <w:separator/>
      </w:r>
    </w:p>
  </w:endnote>
  <w:endnote w:type="continuationSeparator" w:id="0">
    <w:p w14:paraId="648C8892" w14:textId="77777777" w:rsidR="00257935" w:rsidRDefault="00257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BC2BD"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36F69" w14:textId="77777777" w:rsidR="00257935" w:rsidRDefault="00257935">
      <w:r>
        <w:separator/>
      </w:r>
    </w:p>
  </w:footnote>
  <w:footnote w:type="continuationSeparator" w:id="0">
    <w:p w14:paraId="46D3016E" w14:textId="77777777" w:rsidR="00257935" w:rsidRDefault="00257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29E9F677" w14:textId="77777777" w:rsidTr="00EE418E">
      <w:tc>
        <w:tcPr>
          <w:tcW w:w="2745" w:type="dxa"/>
        </w:tcPr>
        <w:p w14:paraId="19EEC721"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7D4DBE01" wp14:editId="2A7F2B25">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859F269"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2DB5938B"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0FA10B3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CB9"/>
    <w:multiLevelType w:val="multilevel"/>
    <w:tmpl w:val="4F0603A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7122777A"/>
    <w:multiLevelType w:val="multilevel"/>
    <w:tmpl w:val="911C8A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250433378">
    <w:abstractNumId w:val="0"/>
  </w:num>
  <w:num w:numId="2" w16cid:durableId="963997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zMDc3MDAyNTO1MDBR0lEKTi0uzszPAykwrAUArUz7LCwAAAA="/>
  </w:docVars>
  <w:rsids>
    <w:rsidRoot w:val="00DC7A4E"/>
    <w:rsid w:val="00024331"/>
    <w:rsid w:val="0004082D"/>
    <w:rsid w:val="0007035D"/>
    <w:rsid w:val="000868A3"/>
    <w:rsid w:val="0009721C"/>
    <w:rsid w:val="000B3EE0"/>
    <w:rsid w:val="000C07A7"/>
    <w:rsid w:val="000D67D5"/>
    <w:rsid w:val="00123F69"/>
    <w:rsid w:val="00141CED"/>
    <w:rsid w:val="00143626"/>
    <w:rsid w:val="0016765C"/>
    <w:rsid w:val="00167994"/>
    <w:rsid w:val="001861B6"/>
    <w:rsid w:val="00196CAF"/>
    <w:rsid w:val="001D7E88"/>
    <w:rsid w:val="00203491"/>
    <w:rsid w:val="00203614"/>
    <w:rsid w:val="00240130"/>
    <w:rsid w:val="00242ED2"/>
    <w:rsid w:val="002460DA"/>
    <w:rsid w:val="00247CD2"/>
    <w:rsid w:val="00257660"/>
    <w:rsid w:val="00257935"/>
    <w:rsid w:val="00286756"/>
    <w:rsid w:val="0028791E"/>
    <w:rsid w:val="00294D00"/>
    <w:rsid w:val="002C3757"/>
    <w:rsid w:val="002C4D1B"/>
    <w:rsid w:val="002D1518"/>
    <w:rsid w:val="002D3067"/>
    <w:rsid w:val="002E2D9B"/>
    <w:rsid w:val="002F0E23"/>
    <w:rsid w:val="00306720"/>
    <w:rsid w:val="00321584"/>
    <w:rsid w:val="0032732E"/>
    <w:rsid w:val="0033254F"/>
    <w:rsid w:val="00346869"/>
    <w:rsid w:val="00376AAF"/>
    <w:rsid w:val="00384BDD"/>
    <w:rsid w:val="003A3BAB"/>
    <w:rsid w:val="003D199E"/>
    <w:rsid w:val="003E49EB"/>
    <w:rsid w:val="004046B1"/>
    <w:rsid w:val="004358A5"/>
    <w:rsid w:val="00445100"/>
    <w:rsid w:val="00446021"/>
    <w:rsid w:val="0047146F"/>
    <w:rsid w:val="00477541"/>
    <w:rsid w:val="004B4453"/>
    <w:rsid w:val="004C4D46"/>
    <w:rsid w:val="00530879"/>
    <w:rsid w:val="005704FF"/>
    <w:rsid w:val="005859DF"/>
    <w:rsid w:val="005B6B45"/>
    <w:rsid w:val="005C239F"/>
    <w:rsid w:val="005C34DC"/>
    <w:rsid w:val="005D65E5"/>
    <w:rsid w:val="0060471C"/>
    <w:rsid w:val="00635818"/>
    <w:rsid w:val="0067036C"/>
    <w:rsid w:val="0068256B"/>
    <w:rsid w:val="00686736"/>
    <w:rsid w:val="006A3935"/>
    <w:rsid w:val="006C1127"/>
    <w:rsid w:val="006E2793"/>
    <w:rsid w:val="006E2AA8"/>
    <w:rsid w:val="006E5DFF"/>
    <w:rsid w:val="006F1751"/>
    <w:rsid w:val="006F69F9"/>
    <w:rsid w:val="00722EB5"/>
    <w:rsid w:val="0072427B"/>
    <w:rsid w:val="00733CC7"/>
    <w:rsid w:val="007379A4"/>
    <w:rsid w:val="007444A1"/>
    <w:rsid w:val="00761A6B"/>
    <w:rsid w:val="00762E10"/>
    <w:rsid w:val="00766762"/>
    <w:rsid w:val="00772B69"/>
    <w:rsid w:val="00781633"/>
    <w:rsid w:val="00786F55"/>
    <w:rsid w:val="007A4E96"/>
    <w:rsid w:val="007A5FA7"/>
    <w:rsid w:val="007C3186"/>
    <w:rsid w:val="007D2205"/>
    <w:rsid w:val="00806D0E"/>
    <w:rsid w:val="00807D79"/>
    <w:rsid w:val="008127CA"/>
    <w:rsid w:val="00812DE9"/>
    <w:rsid w:val="00825387"/>
    <w:rsid w:val="00831359"/>
    <w:rsid w:val="00851B61"/>
    <w:rsid w:val="00863D84"/>
    <w:rsid w:val="00881797"/>
    <w:rsid w:val="008A734C"/>
    <w:rsid w:val="008D2399"/>
    <w:rsid w:val="008E333A"/>
    <w:rsid w:val="008E5735"/>
    <w:rsid w:val="008F05D9"/>
    <w:rsid w:val="009227F8"/>
    <w:rsid w:val="00946970"/>
    <w:rsid w:val="00984683"/>
    <w:rsid w:val="009918CD"/>
    <w:rsid w:val="009A54B8"/>
    <w:rsid w:val="009C6B71"/>
    <w:rsid w:val="009D5CB5"/>
    <w:rsid w:val="009D613A"/>
    <w:rsid w:val="009F0344"/>
    <w:rsid w:val="00A00135"/>
    <w:rsid w:val="00A25F24"/>
    <w:rsid w:val="00A30A49"/>
    <w:rsid w:val="00A4623C"/>
    <w:rsid w:val="00A67F86"/>
    <w:rsid w:val="00A72BFB"/>
    <w:rsid w:val="00A924E5"/>
    <w:rsid w:val="00A935BE"/>
    <w:rsid w:val="00AA4C4D"/>
    <w:rsid w:val="00AB661D"/>
    <w:rsid w:val="00AC0B02"/>
    <w:rsid w:val="00AC165A"/>
    <w:rsid w:val="00AC26BC"/>
    <w:rsid w:val="00AD1BE2"/>
    <w:rsid w:val="00AE62D2"/>
    <w:rsid w:val="00AF29EC"/>
    <w:rsid w:val="00B114B7"/>
    <w:rsid w:val="00B3201F"/>
    <w:rsid w:val="00B41EA4"/>
    <w:rsid w:val="00B45BF0"/>
    <w:rsid w:val="00B56F92"/>
    <w:rsid w:val="00B608AE"/>
    <w:rsid w:val="00B610A5"/>
    <w:rsid w:val="00B62A68"/>
    <w:rsid w:val="00B76F41"/>
    <w:rsid w:val="00B839B1"/>
    <w:rsid w:val="00BA72B5"/>
    <w:rsid w:val="00BE2575"/>
    <w:rsid w:val="00C0179A"/>
    <w:rsid w:val="00C13315"/>
    <w:rsid w:val="00C32CE8"/>
    <w:rsid w:val="00C425C6"/>
    <w:rsid w:val="00C82977"/>
    <w:rsid w:val="00C82B92"/>
    <w:rsid w:val="00C93AA1"/>
    <w:rsid w:val="00CB2994"/>
    <w:rsid w:val="00CE31D8"/>
    <w:rsid w:val="00D05F05"/>
    <w:rsid w:val="00D07ACF"/>
    <w:rsid w:val="00D30D33"/>
    <w:rsid w:val="00D62846"/>
    <w:rsid w:val="00D65F16"/>
    <w:rsid w:val="00D80F59"/>
    <w:rsid w:val="00DA02DF"/>
    <w:rsid w:val="00DA1D86"/>
    <w:rsid w:val="00DC222F"/>
    <w:rsid w:val="00DC7A4E"/>
    <w:rsid w:val="00DD5854"/>
    <w:rsid w:val="00DE18F0"/>
    <w:rsid w:val="00E00E7B"/>
    <w:rsid w:val="00E01A28"/>
    <w:rsid w:val="00E165D3"/>
    <w:rsid w:val="00E41EFE"/>
    <w:rsid w:val="00E53EF2"/>
    <w:rsid w:val="00E6580B"/>
    <w:rsid w:val="00E67A6C"/>
    <w:rsid w:val="00E707C4"/>
    <w:rsid w:val="00E9511D"/>
    <w:rsid w:val="00E96D6E"/>
    <w:rsid w:val="00EC099B"/>
    <w:rsid w:val="00EC3AEE"/>
    <w:rsid w:val="00ED7430"/>
    <w:rsid w:val="00EE418E"/>
    <w:rsid w:val="00F51426"/>
    <w:rsid w:val="00F6335D"/>
    <w:rsid w:val="00F73FA3"/>
    <w:rsid w:val="00F90D3F"/>
    <w:rsid w:val="00F9269D"/>
    <w:rsid w:val="00FB3710"/>
    <w:rsid w:val="00FB6093"/>
    <w:rsid w:val="00FE47DE"/>
    <w:rsid w:val="00FE7F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ABBCC"/>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paragraph" w:styleId="Ttulo2">
    <w:name w:val="heading 2"/>
    <w:basedOn w:val="Normal"/>
    <w:next w:val="Normal"/>
    <w:link w:val="Ttulo2Car"/>
    <w:semiHidden/>
    <w:unhideWhenUsed/>
    <w:qFormat/>
    <w:rsid w:val="0025766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 w:type="character" w:styleId="Refdecomentario">
    <w:name w:val="annotation reference"/>
    <w:basedOn w:val="Fuentedeprrafopredeter"/>
    <w:semiHidden/>
    <w:unhideWhenUsed/>
    <w:rsid w:val="009A54B8"/>
    <w:rPr>
      <w:sz w:val="16"/>
      <w:szCs w:val="16"/>
    </w:rPr>
  </w:style>
  <w:style w:type="paragraph" w:styleId="Textocomentario">
    <w:name w:val="annotation text"/>
    <w:basedOn w:val="Normal"/>
    <w:link w:val="TextocomentarioCar"/>
    <w:semiHidden/>
    <w:unhideWhenUsed/>
    <w:rsid w:val="009A54B8"/>
  </w:style>
  <w:style w:type="character" w:customStyle="1" w:styleId="TextocomentarioCar">
    <w:name w:val="Texto comentario Car"/>
    <w:basedOn w:val="Fuentedeprrafopredeter"/>
    <w:link w:val="Textocomentario"/>
    <w:semiHidden/>
    <w:rsid w:val="009A54B8"/>
    <w:rPr>
      <w:lang w:val="en-US" w:eastAsia="en-US"/>
    </w:rPr>
  </w:style>
  <w:style w:type="paragraph" w:styleId="Asuntodelcomentario">
    <w:name w:val="annotation subject"/>
    <w:basedOn w:val="Textocomentario"/>
    <w:next w:val="Textocomentario"/>
    <w:link w:val="AsuntodelcomentarioCar"/>
    <w:semiHidden/>
    <w:unhideWhenUsed/>
    <w:rsid w:val="009A54B8"/>
    <w:rPr>
      <w:b/>
      <w:bCs/>
    </w:rPr>
  </w:style>
  <w:style w:type="character" w:customStyle="1" w:styleId="AsuntodelcomentarioCar">
    <w:name w:val="Asunto del comentario Car"/>
    <w:basedOn w:val="TextocomentarioCar"/>
    <w:link w:val="Asuntodelcomentario"/>
    <w:semiHidden/>
    <w:rsid w:val="009A54B8"/>
    <w:rPr>
      <w:b/>
      <w:bCs/>
      <w:lang w:val="en-US" w:eastAsia="en-US"/>
    </w:rPr>
  </w:style>
  <w:style w:type="paragraph" w:styleId="Revisin">
    <w:name w:val="Revision"/>
    <w:hidden/>
    <w:uiPriority w:val="99"/>
    <w:semiHidden/>
    <w:rsid w:val="009A54B8"/>
    <w:rPr>
      <w:lang w:val="en-US" w:eastAsia="en-US"/>
    </w:rPr>
  </w:style>
  <w:style w:type="paragraph" w:customStyle="1" w:styleId="4-dept">
    <w:name w:val="4-dept"/>
    <w:basedOn w:val="Normal"/>
    <w:rsid w:val="00A935BE"/>
    <w:pPr>
      <w:spacing w:before="60" w:after="60"/>
      <w:jc w:val="center"/>
    </w:pPr>
    <w:rPr>
      <w:rFonts w:ascii="Arial" w:eastAsia="Calibri" w:hAnsi="Arial" w:cs="Arial"/>
      <w:i/>
      <w:sz w:val="14"/>
      <w:szCs w:val="18"/>
      <w:lang w:val="en-GB"/>
    </w:rPr>
  </w:style>
  <w:style w:type="paragraph" w:customStyle="1" w:styleId="Default">
    <w:name w:val="Default"/>
    <w:rsid w:val="007A5FA7"/>
    <w:pPr>
      <w:autoSpaceDE w:val="0"/>
      <w:autoSpaceDN w:val="0"/>
      <w:adjustRightInd w:val="0"/>
    </w:pPr>
    <w:rPr>
      <w:rFonts w:ascii="Verdana" w:hAnsi="Verdana" w:cs="Verdana"/>
      <w:color w:val="000000"/>
      <w:sz w:val="24"/>
      <w:szCs w:val="24"/>
      <w:lang w:val="en-GB"/>
    </w:rPr>
  </w:style>
  <w:style w:type="character" w:customStyle="1" w:styleId="Ttulo2Car">
    <w:name w:val="Título 2 Car"/>
    <w:basedOn w:val="Fuentedeprrafopredeter"/>
    <w:link w:val="Ttulo2"/>
    <w:semiHidden/>
    <w:rsid w:val="00257660"/>
    <w:rPr>
      <w:rFonts w:asciiTheme="majorHAnsi" w:eastAsiaTheme="majorEastAsia" w:hAnsiTheme="majorHAnsi" w:cstheme="majorBidi"/>
      <w:color w:val="2E74B5"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 w:id="1893035363">
      <w:bodyDiv w:val="1"/>
      <w:marLeft w:val="0"/>
      <w:marRight w:val="0"/>
      <w:marTop w:val="0"/>
      <w:marBottom w:val="0"/>
      <w:divBdr>
        <w:top w:val="none" w:sz="0" w:space="0" w:color="auto"/>
        <w:left w:val="none" w:sz="0" w:space="0" w:color="auto"/>
        <w:bottom w:val="none" w:sz="0" w:space="0" w:color="auto"/>
        <w:right w:val="none" w:sz="0" w:space="0" w:color="auto"/>
      </w:divBdr>
    </w:div>
    <w:div w:id="200057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5A553-9D98-4C83-9913-0C45210A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396</Words>
  <Characters>2182</Characters>
  <Application>Microsoft Office Word</Application>
  <DocSecurity>0</DocSecurity>
  <Lines>18</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3</cp:revision>
  <cp:lastPrinted>2022-06-13T11:42:00Z</cp:lastPrinted>
  <dcterms:created xsi:type="dcterms:W3CDTF">2022-06-13T15:30:00Z</dcterms:created>
  <dcterms:modified xsi:type="dcterms:W3CDTF">2022-06-13T15:31:00Z</dcterms:modified>
</cp:coreProperties>
</file>