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0AAE3" w14:textId="1CEFDE36" w:rsidR="00524953" w:rsidRPr="00524953" w:rsidRDefault="00524953" w:rsidP="00530879">
      <w:pPr>
        <w:pStyle w:val="Ttulo"/>
        <w:spacing w:before="120"/>
        <w:rPr>
          <w:rFonts w:ascii="Garamond" w:hAnsi="Garamond" w:cs="Arial"/>
        </w:rPr>
      </w:pPr>
      <w:r w:rsidRPr="00524953">
        <w:rPr>
          <w:rFonts w:ascii="Garamond" w:hAnsi="Garamond" w:cs="Arial"/>
        </w:rPr>
        <w:t>Study of catalysts based on mixed oxides with low noble metal content for the production of green hydrogen by electrolysis of water in an acid medium.</w:t>
      </w:r>
    </w:p>
    <w:p w14:paraId="6DF1CCC9" w14:textId="77777777" w:rsidR="00EC099B" w:rsidRPr="00BC798A" w:rsidRDefault="00EC099B" w:rsidP="00530879">
      <w:pPr>
        <w:jc w:val="both"/>
        <w:rPr>
          <w:rFonts w:asciiTheme="minorHAnsi" w:hAnsiTheme="minorHAnsi"/>
          <w:sz w:val="16"/>
          <w:szCs w:val="16"/>
        </w:rPr>
      </w:pPr>
    </w:p>
    <w:p w14:paraId="3BCF3A09" w14:textId="232DBA8A" w:rsidR="00524953" w:rsidRDefault="00524953" w:rsidP="00524953">
      <w:pPr>
        <w:jc w:val="center"/>
        <w:rPr>
          <w:rFonts w:ascii="Garamond" w:hAnsi="Garamond" w:cs="Arial"/>
          <w:sz w:val="24"/>
          <w:lang w:val="es-ES"/>
        </w:rPr>
      </w:pPr>
      <w:r w:rsidRPr="0070237C">
        <w:rPr>
          <w:rFonts w:ascii="Garamond" w:hAnsi="Garamond" w:cs="Arial"/>
          <w:sz w:val="24"/>
          <w:u w:val="single"/>
          <w:lang w:val="es-ES"/>
        </w:rPr>
        <w:t>Isabel Rodriguez-Garcia</w:t>
      </w:r>
    </w:p>
    <w:p w14:paraId="457747A7" w14:textId="2C59FBA1" w:rsidR="00524953" w:rsidRPr="00815505" w:rsidRDefault="00524953" w:rsidP="00524953">
      <w:pPr>
        <w:jc w:val="center"/>
        <w:rPr>
          <w:rFonts w:ascii="Garamond" w:hAnsi="Garamond" w:cs="Arial"/>
          <w:sz w:val="22"/>
          <w:lang w:val="es-ES"/>
        </w:rPr>
      </w:pPr>
      <w:r w:rsidRPr="00521305">
        <w:rPr>
          <w:rFonts w:ascii="Garamond" w:hAnsi="Garamond" w:cs="Arial"/>
          <w:sz w:val="22"/>
          <w:lang w:val="es-ES"/>
        </w:rPr>
        <w:t xml:space="preserve">Grupo de Energía y Química Sostenibles, Instituto de Catálisis y Petroleoquímica, CSIC. </w:t>
      </w:r>
      <w:r w:rsidRPr="00815505">
        <w:rPr>
          <w:rFonts w:ascii="Garamond" w:hAnsi="Garamond" w:cs="Arial"/>
          <w:sz w:val="22"/>
          <w:lang w:val="es-ES"/>
        </w:rPr>
        <w:t>C/Marie Curie 2, 28049, Madrid, Spain</w:t>
      </w:r>
    </w:p>
    <w:p w14:paraId="0C04ACB6" w14:textId="13170B82" w:rsidR="00524953" w:rsidRDefault="00B20518" w:rsidP="00524953">
      <w:pPr>
        <w:jc w:val="center"/>
        <w:rPr>
          <w:rStyle w:val="Hipervnculo"/>
          <w:rFonts w:ascii="Garamond" w:hAnsi="Garamond" w:cs="Arial"/>
          <w:sz w:val="22"/>
          <w:lang w:val="es-ES"/>
        </w:rPr>
      </w:pPr>
      <w:hyperlink r:id="rId7" w:history="1">
        <w:r w:rsidR="00524953" w:rsidRPr="00815505">
          <w:rPr>
            <w:rStyle w:val="Hipervnculo"/>
            <w:rFonts w:ascii="Garamond" w:hAnsi="Garamond" w:cs="Arial"/>
            <w:sz w:val="22"/>
            <w:lang w:val="es-ES"/>
          </w:rPr>
          <w:t>isabel.r.g@csic.es</w:t>
        </w:r>
      </w:hyperlink>
    </w:p>
    <w:p w14:paraId="762140A8" w14:textId="77777777" w:rsidR="00BC798A" w:rsidRDefault="00BC798A" w:rsidP="00524953">
      <w:pPr>
        <w:jc w:val="center"/>
        <w:rPr>
          <w:rStyle w:val="Hipervnculo"/>
          <w:rFonts w:ascii="Garamond" w:hAnsi="Garamond" w:cs="Arial"/>
          <w:sz w:val="22"/>
          <w:lang w:val="es-ES"/>
        </w:rPr>
      </w:pPr>
    </w:p>
    <w:p w14:paraId="4F78F4C0" w14:textId="54FBA456" w:rsidR="00BC798A" w:rsidRPr="00815505" w:rsidRDefault="00B20518" w:rsidP="00BC798A">
      <w:pPr>
        <w:jc w:val="center"/>
        <w:rPr>
          <w:rFonts w:ascii="Garamond" w:hAnsi="Garamond" w:cs="Arial"/>
          <w:sz w:val="22"/>
        </w:rPr>
      </w:pPr>
      <w:r>
        <w:rPr>
          <w:rFonts w:ascii="Garamond" w:hAnsi="Garamond" w:cs="Arial"/>
          <w:b/>
          <w:sz w:val="22"/>
          <w:lang w:val="es-ES"/>
        </w:rPr>
        <w:t>Directors</w:t>
      </w:r>
      <w:r w:rsidR="00BC798A" w:rsidRPr="00BC798A">
        <w:rPr>
          <w:rFonts w:ascii="Garamond" w:hAnsi="Garamond" w:cs="Arial"/>
          <w:b/>
          <w:sz w:val="22"/>
          <w:lang w:val="es-ES"/>
        </w:rPr>
        <w:t>:</w:t>
      </w:r>
      <w:r w:rsidR="00BC798A" w:rsidRPr="00BC798A">
        <w:rPr>
          <w:rFonts w:ascii="Garamond" w:hAnsi="Garamond" w:cs="Arial"/>
          <w:sz w:val="22"/>
          <w:lang w:val="es-ES"/>
        </w:rPr>
        <w:t xml:space="preserve"> </w:t>
      </w:r>
      <w:r w:rsidR="00BC798A">
        <w:rPr>
          <w:rFonts w:ascii="Garamond" w:hAnsi="Garamond" w:cs="Arial"/>
          <w:sz w:val="24"/>
          <w:lang w:val="es-ES"/>
        </w:rPr>
        <w:t xml:space="preserve">María Retuerto </w:t>
      </w:r>
      <w:r w:rsidR="00F33A8A">
        <w:rPr>
          <w:rFonts w:ascii="Garamond" w:hAnsi="Garamond" w:cs="Arial"/>
          <w:sz w:val="24"/>
          <w:lang w:val="es-ES"/>
        </w:rPr>
        <w:t xml:space="preserve">Millán </w:t>
      </w:r>
      <w:r w:rsidR="00BC798A">
        <w:rPr>
          <w:rFonts w:ascii="Garamond" w:hAnsi="Garamond" w:cs="Arial"/>
          <w:sz w:val="24"/>
          <w:lang w:val="es-ES"/>
        </w:rPr>
        <w:t>y Sergio Rojas</w:t>
      </w:r>
      <w:r w:rsidR="00F33A8A">
        <w:rPr>
          <w:rFonts w:ascii="Garamond" w:hAnsi="Garamond" w:cs="Arial"/>
          <w:sz w:val="24"/>
          <w:lang w:val="es-ES"/>
        </w:rPr>
        <w:t xml:space="preserve"> Muñoz</w:t>
      </w:r>
      <w:r w:rsidR="00BC798A">
        <w:rPr>
          <w:rFonts w:ascii="Garamond" w:hAnsi="Garamond" w:cs="Arial"/>
          <w:sz w:val="24"/>
          <w:lang w:val="es-ES"/>
        </w:rPr>
        <w:t xml:space="preserve">. </w:t>
      </w:r>
      <w:r w:rsidR="00BC798A" w:rsidRPr="00521305">
        <w:rPr>
          <w:rFonts w:ascii="Garamond" w:hAnsi="Garamond" w:cs="Arial"/>
          <w:sz w:val="22"/>
          <w:lang w:val="es-ES"/>
        </w:rPr>
        <w:t xml:space="preserve">Grupo de Energía y Química Sostenibles, Instituto de Catálisis y Petroleoquímica, CSIC. </w:t>
      </w:r>
      <w:r w:rsidR="00BC798A" w:rsidRPr="00815505">
        <w:rPr>
          <w:rFonts w:ascii="Garamond" w:hAnsi="Garamond" w:cs="Arial"/>
          <w:sz w:val="22"/>
        </w:rPr>
        <w:t>C/Marie Curie 2, 28049, Madrid, Spain</w:t>
      </w:r>
      <w:r w:rsidR="00F33A8A" w:rsidRPr="00815505">
        <w:rPr>
          <w:rFonts w:ascii="Garamond" w:hAnsi="Garamond" w:cs="Arial"/>
          <w:sz w:val="22"/>
        </w:rPr>
        <w:t>.</w:t>
      </w:r>
    </w:p>
    <w:p w14:paraId="707D51B0" w14:textId="24CFB5AA" w:rsidR="00BC798A" w:rsidRPr="00815505" w:rsidRDefault="00BC798A" w:rsidP="00BC798A">
      <w:pPr>
        <w:rPr>
          <w:rFonts w:ascii="Garamond" w:hAnsi="Garamond" w:cs="Arial"/>
          <w:sz w:val="22"/>
        </w:rPr>
      </w:pPr>
    </w:p>
    <w:p w14:paraId="2A58045F" w14:textId="7C0F9617" w:rsidR="0016765C" w:rsidRDefault="00524953" w:rsidP="0016765C">
      <w:pPr>
        <w:ind w:right="49"/>
        <w:jc w:val="both"/>
        <w:rPr>
          <w:rFonts w:ascii="Garamond" w:hAnsi="Garamond"/>
          <w:sz w:val="24"/>
          <w:szCs w:val="22"/>
        </w:rPr>
      </w:pPr>
      <w:r>
        <w:rPr>
          <w:rFonts w:ascii="Garamond" w:hAnsi="Garamond"/>
          <w:sz w:val="24"/>
          <w:szCs w:val="22"/>
        </w:rPr>
        <w:t>Our</w:t>
      </w:r>
      <w:r w:rsidRPr="00524953">
        <w:rPr>
          <w:rFonts w:ascii="Garamond" w:hAnsi="Garamond"/>
          <w:sz w:val="24"/>
          <w:szCs w:val="22"/>
        </w:rPr>
        <w:t xml:space="preserve"> planet is </w:t>
      </w:r>
      <w:r w:rsidR="003132CF" w:rsidRPr="00524953">
        <w:rPr>
          <w:rFonts w:ascii="Garamond" w:hAnsi="Garamond"/>
          <w:sz w:val="24"/>
          <w:szCs w:val="22"/>
        </w:rPr>
        <w:t>facing</w:t>
      </w:r>
      <w:r w:rsidRPr="00524953">
        <w:rPr>
          <w:rFonts w:ascii="Garamond" w:hAnsi="Garamond"/>
          <w:sz w:val="24"/>
          <w:szCs w:val="22"/>
        </w:rPr>
        <w:t xml:space="preserve"> a dramatic change in the way energy is produced, transformed, stored and used in its </w:t>
      </w:r>
      <w:r>
        <w:rPr>
          <w:rFonts w:ascii="Garamond" w:hAnsi="Garamond"/>
          <w:sz w:val="24"/>
          <w:szCs w:val="22"/>
        </w:rPr>
        <w:t>different</w:t>
      </w:r>
      <w:r w:rsidRPr="00524953">
        <w:rPr>
          <w:rFonts w:ascii="Garamond" w:hAnsi="Garamond"/>
          <w:sz w:val="24"/>
          <w:szCs w:val="22"/>
        </w:rPr>
        <w:t xml:space="preserve"> forms. The current energy model based on the use of fossil fuels is a risk </w:t>
      </w:r>
      <w:r w:rsidR="003132CF">
        <w:rPr>
          <w:rFonts w:ascii="Garamond" w:hAnsi="Garamond"/>
          <w:sz w:val="24"/>
          <w:szCs w:val="22"/>
        </w:rPr>
        <w:t xml:space="preserve">for a </w:t>
      </w:r>
      <w:r w:rsidRPr="00524953">
        <w:rPr>
          <w:rFonts w:ascii="Garamond" w:hAnsi="Garamond"/>
          <w:sz w:val="24"/>
          <w:szCs w:val="22"/>
        </w:rPr>
        <w:t>sustainable development, so the decarbonization of society is a</w:t>
      </w:r>
      <w:r>
        <w:rPr>
          <w:rFonts w:ascii="Garamond" w:hAnsi="Garamond"/>
          <w:sz w:val="24"/>
          <w:szCs w:val="22"/>
        </w:rPr>
        <w:t xml:space="preserve">n essential </w:t>
      </w:r>
      <w:r w:rsidRPr="00524953">
        <w:rPr>
          <w:rFonts w:ascii="Garamond" w:hAnsi="Garamond"/>
          <w:sz w:val="24"/>
          <w:szCs w:val="22"/>
        </w:rPr>
        <w:t>priority for all. The way to achieve this</w:t>
      </w:r>
      <w:r w:rsidR="003132CF">
        <w:rPr>
          <w:rFonts w:ascii="Garamond" w:hAnsi="Garamond"/>
          <w:sz w:val="24"/>
          <w:szCs w:val="22"/>
        </w:rPr>
        <w:t xml:space="preserve"> </w:t>
      </w:r>
      <w:r w:rsidR="003132CF" w:rsidRPr="00524953">
        <w:rPr>
          <w:rFonts w:ascii="Garamond" w:hAnsi="Garamond"/>
          <w:sz w:val="24"/>
          <w:szCs w:val="22"/>
        </w:rPr>
        <w:t>decarbonization</w:t>
      </w:r>
      <w:r w:rsidRPr="00524953">
        <w:rPr>
          <w:rFonts w:ascii="Garamond" w:hAnsi="Garamond"/>
          <w:sz w:val="24"/>
          <w:szCs w:val="22"/>
        </w:rPr>
        <w:t xml:space="preserve"> is through the use of renewable energies</w:t>
      </w:r>
      <w:r w:rsidR="003132CF">
        <w:rPr>
          <w:rFonts w:ascii="Garamond" w:hAnsi="Garamond"/>
          <w:sz w:val="24"/>
          <w:szCs w:val="22"/>
        </w:rPr>
        <w:t>.</w:t>
      </w:r>
      <w:r w:rsidR="003132CF" w:rsidRPr="00524953">
        <w:rPr>
          <w:rFonts w:ascii="Garamond" w:hAnsi="Garamond"/>
          <w:sz w:val="24"/>
          <w:szCs w:val="22"/>
        </w:rPr>
        <w:t xml:space="preserve"> </w:t>
      </w:r>
      <w:r w:rsidR="003132CF">
        <w:rPr>
          <w:rFonts w:ascii="Garamond" w:hAnsi="Garamond"/>
          <w:sz w:val="24"/>
          <w:szCs w:val="22"/>
        </w:rPr>
        <w:t>However, they present several issues;</w:t>
      </w:r>
      <w:r w:rsidRPr="00524953">
        <w:rPr>
          <w:rFonts w:ascii="Garamond" w:hAnsi="Garamond"/>
          <w:sz w:val="24"/>
          <w:szCs w:val="22"/>
        </w:rPr>
        <w:t xml:space="preserve"> although their production capacity is very high, </w:t>
      </w:r>
      <w:r w:rsidR="003132CF">
        <w:rPr>
          <w:rFonts w:ascii="Garamond" w:hAnsi="Garamond"/>
          <w:sz w:val="24"/>
          <w:szCs w:val="22"/>
        </w:rPr>
        <w:t>it</w:t>
      </w:r>
      <w:r w:rsidR="003132CF" w:rsidRPr="00524953">
        <w:rPr>
          <w:rFonts w:ascii="Garamond" w:hAnsi="Garamond"/>
          <w:sz w:val="24"/>
          <w:szCs w:val="22"/>
        </w:rPr>
        <w:t xml:space="preserve"> </w:t>
      </w:r>
      <w:r w:rsidRPr="00524953">
        <w:rPr>
          <w:rFonts w:ascii="Garamond" w:hAnsi="Garamond"/>
          <w:sz w:val="24"/>
          <w:szCs w:val="22"/>
        </w:rPr>
        <w:t>is in many cases decoupled from their demand, therefore, technologies capable of storage</w:t>
      </w:r>
      <w:r w:rsidR="003132CF">
        <w:rPr>
          <w:rFonts w:ascii="Garamond" w:hAnsi="Garamond"/>
          <w:sz w:val="24"/>
          <w:szCs w:val="22"/>
        </w:rPr>
        <w:t xml:space="preserve"> </w:t>
      </w:r>
      <w:r w:rsidR="003132CF" w:rsidRPr="00524953">
        <w:rPr>
          <w:rFonts w:ascii="Garamond" w:hAnsi="Garamond"/>
          <w:sz w:val="24"/>
          <w:szCs w:val="22"/>
        </w:rPr>
        <w:t>and distribute</w:t>
      </w:r>
      <w:r w:rsidR="003132CF">
        <w:rPr>
          <w:rFonts w:ascii="Garamond" w:hAnsi="Garamond"/>
          <w:sz w:val="24"/>
          <w:szCs w:val="22"/>
        </w:rPr>
        <w:t xml:space="preserve"> the </w:t>
      </w:r>
      <w:r w:rsidR="003132CF" w:rsidRPr="00524953">
        <w:rPr>
          <w:rFonts w:ascii="Garamond" w:hAnsi="Garamond"/>
          <w:sz w:val="24"/>
          <w:szCs w:val="22"/>
        </w:rPr>
        <w:t>surplus</w:t>
      </w:r>
      <w:r w:rsidR="003132CF">
        <w:rPr>
          <w:rFonts w:ascii="Garamond" w:hAnsi="Garamond"/>
          <w:sz w:val="24"/>
          <w:szCs w:val="22"/>
        </w:rPr>
        <w:t xml:space="preserve"> of</w:t>
      </w:r>
      <w:r w:rsidR="003132CF" w:rsidRPr="00524953">
        <w:rPr>
          <w:rFonts w:ascii="Garamond" w:hAnsi="Garamond"/>
          <w:sz w:val="24"/>
          <w:szCs w:val="22"/>
        </w:rPr>
        <w:t xml:space="preserve"> renewable energy</w:t>
      </w:r>
      <w:r w:rsidR="003132CF">
        <w:rPr>
          <w:rFonts w:ascii="Garamond" w:hAnsi="Garamond"/>
          <w:sz w:val="24"/>
          <w:szCs w:val="22"/>
        </w:rPr>
        <w:t xml:space="preserve"> </w:t>
      </w:r>
      <w:r w:rsidRPr="00524953">
        <w:rPr>
          <w:rFonts w:ascii="Garamond" w:hAnsi="Garamond"/>
          <w:sz w:val="24"/>
          <w:szCs w:val="22"/>
        </w:rPr>
        <w:t xml:space="preserve">must be </w:t>
      </w:r>
      <w:r w:rsidR="00815505" w:rsidRPr="00524953">
        <w:rPr>
          <w:rFonts w:ascii="Garamond" w:hAnsi="Garamond"/>
          <w:sz w:val="24"/>
          <w:szCs w:val="22"/>
        </w:rPr>
        <w:t>developed.</w:t>
      </w:r>
    </w:p>
    <w:p w14:paraId="26924D51" w14:textId="5117736F" w:rsidR="00524953" w:rsidRDefault="00524953" w:rsidP="0016765C">
      <w:pPr>
        <w:ind w:right="49"/>
        <w:jc w:val="both"/>
        <w:rPr>
          <w:rFonts w:ascii="Garamond" w:hAnsi="Garamond"/>
          <w:sz w:val="24"/>
          <w:szCs w:val="22"/>
        </w:rPr>
      </w:pPr>
      <w:r w:rsidRPr="00524953">
        <w:rPr>
          <w:rFonts w:ascii="Garamond" w:hAnsi="Garamond"/>
          <w:sz w:val="24"/>
          <w:szCs w:val="22"/>
        </w:rPr>
        <w:t xml:space="preserve">Green hydrogen is an ideal carrier of energy, capable of accumulating excess energy in a clean way and then being able to use it when and where it is needed, and the most efficient way of accumulating it is through the electrolysis of water, in which water </w:t>
      </w:r>
      <w:r w:rsidR="003132CF" w:rsidRPr="00524953">
        <w:rPr>
          <w:rFonts w:ascii="Garamond" w:hAnsi="Garamond"/>
          <w:sz w:val="24"/>
          <w:szCs w:val="22"/>
        </w:rPr>
        <w:t>molecule dissociates to generate H</w:t>
      </w:r>
      <w:r w:rsidR="003132CF" w:rsidRPr="00524953">
        <w:rPr>
          <w:rFonts w:ascii="Garamond" w:hAnsi="Garamond"/>
          <w:sz w:val="24"/>
          <w:szCs w:val="22"/>
          <w:vertAlign w:val="subscript"/>
        </w:rPr>
        <w:t>2</w:t>
      </w:r>
      <w:r w:rsidR="003132CF" w:rsidRPr="00524953">
        <w:rPr>
          <w:rFonts w:ascii="Garamond" w:hAnsi="Garamond"/>
          <w:sz w:val="24"/>
          <w:szCs w:val="22"/>
        </w:rPr>
        <w:t xml:space="preserve"> and O</w:t>
      </w:r>
      <w:r w:rsidR="003132CF" w:rsidRPr="00524953">
        <w:rPr>
          <w:rFonts w:ascii="Garamond" w:hAnsi="Garamond"/>
          <w:sz w:val="24"/>
          <w:szCs w:val="22"/>
          <w:vertAlign w:val="subscript"/>
        </w:rPr>
        <w:t>2</w:t>
      </w:r>
      <w:r w:rsidR="003132CF">
        <w:rPr>
          <w:rFonts w:ascii="Garamond" w:hAnsi="Garamond"/>
          <w:sz w:val="24"/>
          <w:szCs w:val="22"/>
          <w:vertAlign w:val="subscript"/>
        </w:rPr>
        <w:t xml:space="preserve"> </w:t>
      </w:r>
      <w:r w:rsidRPr="00524953">
        <w:rPr>
          <w:rFonts w:ascii="Garamond" w:hAnsi="Garamond"/>
          <w:sz w:val="24"/>
          <w:szCs w:val="22"/>
        </w:rPr>
        <w:t>with the contribution of renewable energy. In this process, two half-reactions take place on two electrodes separated by an electrolyte</w:t>
      </w:r>
      <w:r>
        <w:rPr>
          <w:rFonts w:ascii="Garamond" w:hAnsi="Garamond"/>
          <w:sz w:val="24"/>
          <w:szCs w:val="22"/>
        </w:rPr>
        <w:fldChar w:fldCharType="begin" w:fldLock="1"/>
      </w:r>
      <w:r>
        <w:rPr>
          <w:rFonts w:ascii="Garamond" w:hAnsi="Garamond"/>
          <w:sz w:val="24"/>
          <w:szCs w:val="22"/>
        </w:rPr>
        <w:instrText>ADDIN CSL_CITATION {"citationItems":[{"id":"ITEM-1","itemData":{"DOI":"10.1016/j.rser.2013.08.090","ISSN":"13640321","abstract":"Water electrolysis derived by renewable energy such as solar energy and wind energy is a sustainable method for hydrogen production due to high purity, simple and green process. One of the challenges is to reduce energy consumption of water electrolysis for large-scale application in future. Cell voltage, an important criterion of energy consumption, consists of theoretical decomposition voltage (Uθ), ohmic voltage drop.© 2013 Elsevier Ltd. All rights reserved.","author":[{"dropping-particle":"","family":"Wang","given":"Mingyong","non-dropping-particle":"","parse-names":false,"suffix":""},{"dropping-particle":"","family":"Wang","given":"Zhi","non-dropping-particle":"","parse-names":false,"suffix":""},{"dropping-particle":"","family":"Gong","given":"Xuzhong","non-dropping-particle":"","parse-names":false,"suffix":""},{"dropping-particle":"","family":"Guo","given":"Zhancheng","non-dropping-particle":"","parse-names":false,"suffix":""}],"container-title":"Renewable and Sustainable Energy Reviews","id":"ITEM-1","issued":{"date-parts":[["2014"]]},"page":"573-588","publisher":"Elsevier","title":"The intensification technologies to water electrolysis for hydrogen production - A review","type":"article-journal","volume":"29"},"uris":["http://www.mendeley.com/documents/?uuid=dcf5af34-7110-4832-8c95-9527febd65da"]}],"mendeley":{"formattedCitation":"&lt;sup&gt;1&lt;/sup&gt;","plainTextFormattedCitation":"1","previouslyFormattedCitation":"&lt;sup&gt;1&lt;/sup&gt;"},"properties":{"noteIndex":0},"schema":"https://github.com/citation-style-language/schema/raw/master/csl-citation.json"}</w:instrText>
      </w:r>
      <w:r>
        <w:rPr>
          <w:rFonts w:ascii="Garamond" w:hAnsi="Garamond"/>
          <w:sz w:val="24"/>
          <w:szCs w:val="22"/>
        </w:rPr>
        <w:fldChar w:fldCharType="separate"/>
      </w:r>
      <w:r w:rsidRPr="00524953">
        <w:rPr>
          <w:rFonts w:ascii="Garamond" w:hAnsi="Garamond"/>
          <w:noProof/>
          <w:sz w:val="24"/>
          <w:szCs w:val="22"/>
          <w:vertAlign w:val="superscript"/>
        </w:rPr>
        <w:t>1</w:t>
      </w:r>
      <w:r>
        <w:rPr>
          <w:rFonts w:ascii="Garamond" w:hAnsi="Garamond"/>
          <w:sz w:val="24"/>
          <w:szCs w:val="22"/>
        </w:rPr>
        <w:fldChar w:fldCharType="end"/>
      </w:r>
      <w:r w:rsidRPr="00524953">
        <w:rPr>
          <w:rFonts w:ascii="Garamond" w:hAnsi="Garamond"/>
          <w:sz w:val="24"/>
          <w:szCs w:val="22"/>
        </w:rPr>
        <w:t xml:space="preserve">. In an acid medium, the Hydrogen Evolution Reaction (HER) occurs at the cathode where the protons of water are reduced to </w:t>
      </w:r>
      <w:r w:rsidRPr="00810B57">
        <w:rPr>
          <w:rFonts w:ascii="Garamond" w:hAnsi="Garamond" w:cs="Arial"/>
          <w:color w:val="000000"/>
          <w:sz w:val="24"/>
          <w:szCs w:val="24"/>
        </w:rPr>
        <w:t>H</w:t>
      </w:r>
      <w:r w:rsidRPr="00810B57">
        <w:rPr>
          <w:rFonts w:ascii="Garamond" w:hAnsi="Garamond" w:cs="Arial"/>
          <w:color w:val="000000"/>
          <w:sz w:val="24"/>
          <w:szCs w:val="24"/>
          <w:vertAlign w:val="subscript"/>
        </w:rPr>
        <w:t>2</w:t>
      </w:r>
      <w:r w:rsidRPr="00810B57">
        <w:rPr>
          <w:rFonts w:ascii="Garamond" w:hAnsi="Garamond" w:cs="Arial"/>
          <w:color w:val="000000"/>
          <w:sz w:val="24"/>
          <w:szCs w:val="24"/>
        </w:rPr>
        <w:t xml:space="preserve"> (2H</w:t>
      </w:r>
      <w:r w:rsidRPr="00810B57">
        <w:rPr>
          <w:rFonts w:ascii="Garamond" w:hAnsi="Garamond" w:cs="Arial"/>
          <w:color w:val="000000"/>
          <w:sz w:val="24"/>
          <w:szCs w:val="24"/>
          <w:vertAlign w:val="superscript"/>
        </w:rPr>
        <w:t>+</w:t>
      </w:r>
      <w:r w:rsidRPr="00810B57">
        <w:rPr>
          <w:rFonts w:ascii="Garamond" w:hAnsi="Garamond" w:cs="Arial"/>
          <w:color w:val="000000"/>
          <w:sz w:val="24"/>
          <w:szCs w:val="24"/>
        </w:rPr>
        <w:t xml:space="preserve"> + 2e</w:t>
      </w:r>
      <w:r w:rsidRPr="00810B57">
        <w:rPr>
          <w:rFonts w:ascii="Garamond" w:hAnsi="Garamond" w:cs="Arial"/>
          <w:color w:val="000000"/>
          <w:sz w:val="24"/>
          <w:szCs w:val="24"/>
          <w:vertAlign w:val="superscript"/>
        </w:rPr>
        <w:t>-</w:t>
      </w:r>
      <w:r w:rsidRPr="00810B57">
        <w:rPr>
          <w:rFonts w:ascii="Garamond" w:hAnsi="Garamond" w:cs="Arial"/>
          <w:color w:val="000000"/>
          <w:sz w:val="24"/>
          <w:szCs w:val="24"/>
        </w:rPr>
        <w:t xml:space="preserve"> </w:t>
      </w:r>
      <w:r w:rsidRPr="00810B57">
        <w:rPr>
          <w:rFonts w:ascii="Garamond" w:hAnsi="Garamond" w:cs="Arial"/>
          <w:color w:val="000000"/>
          <w:sz w:val="24"/>
          <w:szCs w:val="24"/>
        </w:rPr>
        <w:sym w:font="Wingdings" w:char="F0E0"/>
      </w:r>
      <w:r w:rsidRPr="00810B57">
        <w:rPr>
          <w:rFonts w:ascii="Garamond" w:hAnsi="Garamond" w:cs="Arial"/>
          <w:color w:val="000000"/>
          <w:sz w:val="24"/>
          <w:szCs w:val="24"/>
        </w:rPr>
        <w:t xml:space="preserve"> H</w:t>
      </w:r>
      <w:r w:rsidRPr="00810B57">
        <w:rPr>
          <w:rFonts w:ascii="Garamond" w:hAnsi="Garamond" w:cs="Arial"/>
          <w:color w:val="000000"/>
          <w:sz w:val="24"/>
          <w:szCs w:val="24"/>
          <w:vertAlign w:val="subscript"/>
        </w:rPr>
        <w:t>2</w:t>
      </w:r>
      <w:r w:rsidRPr="00810B57">
        <w:rPr>
          <w:rFonts w:ascii="Garamond" w:hAnsi="Garamond" w:cs="Arial"/>
          <w:color w:val="000000"/>
          <w:sz w:val="24"/>
          <w:szCs w:val="24"/>
        </w:rPr>
        <w:t>)</w:t>
      </w:r>
      <w:r w:rsidRPr="00524953">
        <w:rPr>
          <w:rFonts w:ascii="Garamond" w:hAnsi="Garamond"/>
          <w:sz w:val="24"/>
          <w:szCs w:val="22"/>
        </w:rPr>
        <w:t xml:space="preserve">. At the anode, the Oxygen Evolution Reaction (OER) occurs where the oxygen anions in the water are oxidized to </w:t>
      </w:r>
      <w:r w:rsidRPr="00810B57">
        <w:rPr>
          <w:rFonts w:ascii="Garamond" w:hAnsi="Garamond" w:cs="Arial"/>
          <w:color w:val="000000"/>
          <w:sz w:val="24"/>
          <w:szCs w:val="24"/>
        </w:rPr>
        <w:t>O</w:t>
      </w:r>
      <w:r w:rsidRPr="00810B57">
        <w:rPr>
          <w:rFonts w:ascii="Garamond" w:hAnsi="Garamond" w:cs="Arial"/>
          <w:color w:val="000000"/>
          <w:sz w:val="24"/>
          <w:szCs w:val="24"/>
          <w:vertAlign w:val="subscript"/>
        </w:rPr>
        <w:t>2</w:t>
      </w:r>
      <w:r w:rsidRPr="00810B57">
        <w:rPr>
          <w:rFonts w:ascii="Garamond" w:hAnsi="Garamond" w:cs="Arial"/>
          <w:color w:val="000000"/>
          <w:sz w:val="24"/>
          <w:szCs w:val="24"/>
        </w:rPr>
        <w:t xml:space="preserve"> (H</w:t>
      </w:r>
      <w:r w:rsidRPr="00810B57">
        <w:rPr>
          <w:rFonts w:ascii="Garamond" w:hAnsi="Garamond" w:cs="Arial"/>
          <w:color w:val="000000"/>
          <w:sz w:val="24"/>
          <w:szCs w:val="24"/>
          <w:vertAlign w:val="subscript"/>
        </w:rPr>
        <w:t>2</w:t>
      </w:r>
      <w:r w:rsidRPr="00810B57">
        <w:rPr>
          <w:rFonts w:ascii="Garamond" w:hAnsi="Garamond" w:cs="Arial"/>
          <w:color w:val="000000"/>
          <w:sz w:val="24"/>
          <w:szCs w:val="24"/>
        </w:rPr>
        <w:t xml:space="preserve">O </w:t>
      </w:r>
      <w:r w:rsidRPr="00810B57">
        <w:rPr>
          <w:rFonts w:ascii="Garamond" w:hAnsi="Garamond" w:cs="Arial"/>
          <w:color w:val="000000"/>
          <w:sz w:val="24"/>
          <w:szCs w:val="24"/>
        </w:rPr>
        <w:sym w:font="Wingdings" w:char="F0E0"/>
      </w:r>
      <w:r w:rsidRPr="00810B57">
        <w:rPr>
          <w:rFonts w:ascii="Garamond" w:hAnsi="Garamond" w:cs="Arial"/>
          <w:color w:val="000000"/>
          <w:sz w:val="24"/>
          <w:szCs w:val="24"/>
        </w:rPr>
        <w:t xml:space="preserve"> ½ O</w:t>
      </w:r>
      <w:r w:rsidRPr="00810B57">
        <w:rPr>
          <w:rFonts w:ascii="Garamond" w:hAnsi="Garamond" w:cs="Arial"/>
          <w:color w:val="000000"/>
          <w:sz w:val="24"/>
          <w:szCs w:val="24"/>
          <w:vertAlign w:val="subscript"/>
        </w:rPr>
        <w:t>2</w:t>
      </w:r>
      <w:r w:rsidRPr="00810B57">
        <w:rPr>
          <w:rFonts w:ascii="Garamond" w:hAnsi="Garamond" w:cs="Arial"/>
          <w:color w:val="000000"/>
          <w:sz w:val="24"/>
          <w:szCs w:val="24"/>
        </w:rPr>
        <w:t xml:space="preserve"> + 2H</w:t>
      </w:r>
      <w:r w:rsidRPr="00810B57">
        <w:rPr>
          <w:rFonts w:ascii="Garamond" w:hAnsi="Garamond" w:cs="Arial"/>
          <w:color w:val="000000"/>
          <w:sz w:val="24"/>
          <w:szCs w:val="24"/>
          <w:vertAlign w:val="superscript"/>
        </w:rPr>
        <w:t>+</w:t>
      </w:r>
      <w:r w:rsidRPr="00810B57">
        <w:rPr>
          <w:rFonts w:ascii="Garamond" w:hAnsi="Garamond" w:cs="Arial"/>
          <w:color w:val="000000"/>
          <w:sz w:val="24"/>
          <w:szCs w:val="24"/>
        </w:rPr>
        <w:t xml:space="preserve"> + 2e</w:t>
      </w:r>
      <w:r w:rsidRPr="00810B57">
        <w:rPr>
          <w:rFonts w:ascii="Garamond" w:hAnsi="Garamond" w:cs="Arial"/>
          <w:color w:val="000000"/>
          <w:sz w:val="24"/>
          <w:szCs w:val="24"/>
          <w:vertAlign w:val="superscript"/>
        </w:rPr>
        <w:t>-</w:t>
      </w:r>
      <w:r w:rsidRPr="00810B57">
        <w:rPr>
          <w:rFonts w:ascii="Garamond" w:hAnsi="Garamond" w:cs="Arial"/>
          <w:color w:val="000000"/>
          <w:sz w:val="24"/>
          <w:szCs w:val="24"/>
        </w:rPr>
        <w:t>)</w:t>
      </w:r>
      <w:r w:rsidRPr="00524953">
        <w:rPr>
          <w:rFonts w:ascii="Garamond" w:hAnsi="Garamond"/>
          <w:sz w:val="24"/>
          <w:szCs w:val="22"/>
        </w:rPr>
        <w:t>.</w:t>
      </w:r>
      <w:r w:rsidRPr="00524953">
        <w:t xml:space="preserve"> </w:t>
      </w:r>
      <w:r w:rsidRPr="00524953">
        <w:rPr>
          <w:rFonts w:ascii="Garamond" w:hAnsi="Garamond"/>
          <w:sz w:val="24"/>
          <w:szCs w:val="22"/>
        </w:rPr>
        <w:t>The global electrolysis reaction is the sum of the HER and OER whose thermodynamic potentials are 0 V and 1.23 V, respectively, therefore, although H</w:t>
      </w:r>
      <w:r w:rsidRPr="00524953">
        <w:rPr>
          <w:rFonts w:ascii="Garamond" w:hAnsi="Garamond"/>
          <w:sz w:val="24"/>
          <w:szCs w:val="22"/>
          <w:vertAlign w:val="subscript"/>
        </w:rPr>
        <w:t>2</w:t>
      </w:r>
      <w:r w:rsidRPr="00524953">
        <w:rPr>
          <w:rFonts w:ascii="Garamond" w:hAnsi="Garamond"/>
          <w:sz w:val="24"/>
          <w:szCs w:val="22"/>
        </w:rPr>
        <w:t xml:space="preserve"> is the desired product, produced in the HER, the global reaction is limited by the OER, since it is the one that needs higher overpotentials because its kinetics is slower than that of HER, especially in acid medium, so it is the anode where a higher electrocatalyst charge is used</w:t>
      </w:r>
      <w:r w:rsidR="00B86AB4">
        <w:rPr>
          <w:rFonts w:ascii="Garamond" w:hAnsi="Garamond"/>
          <w:sz w:val="24"/>
          <w:szCs w:val="22"/>
        </w:rPr>
        <w:t>. F</w:t>
      </w:r>
      <w:r w:rsidRPr="00524953">
        <w:rPr>
          <w:rFonts w:ascii="Garamond" w:hAnsi="Garamond"/>
          <w:sz w:val="24"/>
          <w:szCs w:val="22"/>
        </w:rPr>
        <w:t xml:space="preserve">urthermore, the most active </w:t>
      </w:r>
      <w:r w:rsidR="00B86AB4">
        <w:rPr>
          <w:rFonts w:ascii="Garamond" w:hAnsi="Garamond"/>
          <w:sz w:val="24"/>
          <w:szCs w:val="22"/>
        </w:rPr>
        <w:t>catalysts</w:t>
      </w:r>
      <w:r w:rsidR="00B86AB4" w:rsidRPr="00524953">
        <w:rPr>
          <w:rFonts w:ascii="Garamond" w:hAnsi="Garamond"/>
          <w:sz w:val="24"/>
          <w:szCs w:val="22"/>
        </w:rPr>
        <w:t xml:space="preserve"> </w:t>
      </w:r>
      <w:r w:rsidRPr="00524953">
        <w:rPr>
          <w:rFonts w:ascii="Garamond" w:hAnsi="Garamond"/>
          <w:sz w:val="24"/>
          <w:szCs w:val="22"/>
        </w:rPr>
        <w:t xml:space="preserve">for the OER in acid medium are based on </w:t>
      </w:r>
      <w:proofErr w:type="spellStart"/>
      <w:r w:rsidRPr="00524953">
        <w:rPr>
          <w:rFonts w:ascii="Garamond" w:hAnsi="Garamond"/>
          <w:sz w:val="24"/>
          <w:szCs w:val="22"/>
        </w:rPr>
        <w:t>Ir</w:t>
      </w:r>
      <w:proofErr w:type="spellEnd"/>
      <w:r w:rsidRPr="00524953">
        <w:rPr>
          <w:rFonts w:ascii="Garamond" w:hAnsi="Garamond"/>
          <w:sz w:val="24"/>
          <w:szCs w:val="22"/>
        </w:rPr>
        <w:t xml:space="preserve"> and Ru, which are very scarce elements and have a high cost.</w:t>
      </w:r>
    </w:p>
    <w:p w14:paraId="64C12767" w14:textId="1B2CC3B4" w:rsidR="00524953" w:rsidRPr="00524953" w:rsidRDefault="00524953" w:rsidP="0016765C">
      <w:pPr>
        <w:ind w:right="49"/>
        <w:jc w:val="both"/>
        <w:rPr>
          <w:rFonts w:ascii="Garamond" w:hAnsi="Garamond"/>
          <w:sz w:val="24"/>
          <w:szCs w:val="22"/>
        </w:rPr>
      </w:pPr>
      <w:r w:rsidRPr="00524953">
        <w:rPr>
          <w:rFonts w:ascii="Garamond" w:hAnsi="Garamond"/>
          <w:sz w:val="24"/>
          <w:szCs w:val="22"/>
        </w:rPr>
        <w:t xml:space="preserve">The main objective of the </w:t>
      </w:r>
      <w:r w:rsidR="001B055B">
        <w:rPr>
          <w:rFonts w:ascii="Garamond" w:hAnsi="Garamond"/>
          <w:sz w:val="24"/>
          <w:szCs w:val="22"/>
        </w:rPr>
        <w:t>PhD</w:t>
      </w:r>
      <w:r w:rsidRPr="00524953">
        <w:rPr>
          <w:rFonts w:ascii="Garamond" w:hAnsi="Garamond"/>
          <w:sz w:val="24"/>
          <w:szCs w:val="22"/>
        </w:rPr>
        <w:t xml:space="preserve"> thesis is the </w:t>
      </w:r>
      <w:r w:rsidR="00B86AB4">
        <w:rPr>
          <w:rFonts w:ascii="Garamond" w:hAnsi="Garamond"/>
          <w:sz w:val="24"/>
          <w:szCs w:val="22"/>
        </w:rPr>
        <w:t>design</w:t>
      </w:r>
      <w:r w:rsidRPr="00524953">
        <w:rPr>
          <w:rFonts w:ascii="Garamond" w:hAnsi="Garamond"/>
          <w:sz w:val="24"/>
          <w:szCs w:val="22"/>
        </w:rPr>
        <w:t xml:space="preserve"> and optimization of </w:t>
      </w:r>
      <w:r w:rsidR="00B86AB4">
        <w:rPr>
          <w:rFonts w:ascii="Garamond" w:hAnsi="Garamond"/>
          <w:sz w:val="24"/>
          <w:szCs w:val="22"/>
        </w:rPr>
        <w:t>novel electro</w:t>
      </w:r>
      <w:r w:rsidRPr="00524953">
        <w:rPr>
          <w:rFonts w:ascii="Garamond" w:hAnsi="Garamond"/>
          <w:sz w:val="24"/>
          <w:szCs w:val="22"/>
        </w:rPr>
        <w:t xml:space="preserve">catalysts with low content or without noble metals for </w:t>
      </w:r>
      <w:r w:rsidR="00B86AB4">
        <w:rPr>
          <w:rFonts w:ascii="Garamond" w:hAnsi="Garamond"/>
          <w:sz w:val="24"/>
          <w:szCs w:val="22"/>
        </w:rPr>
        <w:t xml:space="preserve">their </w:t>
      </w:r>
      <w:r w:rsidRPr="00524953">
        <w:rPr>
          <w:rFonts w:ascii="Garamond" w:hAnsi="Garamond"/>
          <w:sz w:val="24"/>
          <w:szCs w:val="22"/>
        </w:rPr>
        <w:t>use in the anode (OER) in acid electroly</w:t>
      </w:r>
      <w:r>
        <w:rPr>
          <w:rFonts w:ascii="Garamond" w:hAnsi="Garamond"/>
          <w:sz w:val="24"/>
          <w:szCs w:val="22"/>
        </w:rPr>
        <w:t>z</w:t>
      </w:r>
      <w:r w:rsidRPr="00524953">
        <w:rPr>
          <w:rFonts w:ascii="Garamond" w:hAnsi="Garamond"/>
          <w:sz w:val="24"/>
          <w:szCs w:val="22"/>
        </w:rPr>
        <w:t xml:space="preserve">ers, in particular focusing on the study of mixed oxides for said purpose. During this first year of the </w:t>
      </w:r>
      <w:r w:rsidR="001B055B">
        <w:rPr>
          <w:rFonts w:ascii="Garamond" w:hAnsi="Garamond"/>
          <w:sz w:val="24"/>
          <w:szCs w:val="22"/>
        </w:rPr>
        <w:t xml:space="preserve">PhD </w:t>
      </w:r>
      <w:r w:rsidRPr="00524953">
        <w:rPr>
          <w:rFonts w:ascii="Garamond" w:hAnsi="Garamond"/>
          <w:sz w:val="24"/>
          <w:szCs w:val="22"/>
        </w:rPr>
        <w:t>thesis, a first article</w:t>
      </w:r>
      <w:r>
        <w:rPr>
          <w:rFonts w:ascii="Garamond" w:hAnsi="Garamond"/>
          <w:sz w:val="24"/>
          <w:szCs w:val="22"/>
        </w:rPr>
        <w:fldChar w:fldCharType="begin" w:fldLock="1"/>
      </w:r>
      <w:r>
        <w:rPr>
          <w:rFonts w:ascii="Garamond" w:hAnsi="Garamond"/>
          <w:sz w:val="24"/>
          <w:szCs w:val="22"/>
        </w:rPr>
        <w:instrText>ADDIN CSL_CITATION {"citationItems":[{"id":"ITEM-1","itemData":{"DOI":"10.1016/j.jpowsour.2021.230950","ISSN":"03787753","abstract":"Ru mixed oxides are the most active catalysts for the oxygen evolution reaction (OER) in acid electrolyte. However, their stability is seriously compromised during the reaction. In this work we show that it is possible to enhance both OER activity and durability of SrRuO3 mixed oxide by the partial doping with K+ in Sr2+ sites. Sr1-xKxRuO3 perovskites (x = 0.00, 0.05, 0.10 and 0.20) have been synthesized by wet chemistry. The partial doping with K+ cations led to oxides with Ru atoms in a higher oxidation state. In addition, K-doping resulted in perovskites with slightly higher symmetry. The performance of the K-doped perovskites for the OER was assessed in acid electrolyte. Clearly, the K-doped materials, especially Sr0.80K0.20RuO3, display higher activity (lower E10) and significantly higher durability than the undoped sample SrRuO3. The results indicate that chemical modifications on Ru perovskites can be a suitable strategy to improve the stability of Ru phases during the OER.","author":[{"dropping-particle":"","family":"Rodríguez-García","given":"Isabel","non-dropping-particle":"","parse-names":false,"suffix":""},{"dropping-particle":"","family":"Galyamin","given":"Dmitry","non-dropping-particle":"","parse-names":false,"suffix":""},{"dropping-particle":"","family":"Pascual","given":"Laura","non-dropping-particle":"","parse-names":false,"suffix":""},{"dropping-particle":"","family":"Ferrer","given":"Pilar","non-dropping-particle":"","parse-names":false,"suffix":""},{"dropping-particle":"","family":"Peña","given":"Miguel A.","non-dropping-particle":"","parse-names":false,"suffix":""},{"dropping-particle":"","family":"Grinter","given":"Dave","non-dropping-particle":"","parse-names":false,"suffix":""},{"dropping-particle":"","family":"Held","given":"Georg","non-dropping-particle":"","parse-names":false,"suffix":""},{"dropping-particle":"","family":"Abdel Salam","given":"Mohamed","non-dropping-particle":"","parse-names":false,"suffix":""},{"dropping-particle":"","family":"Mokhtar","given":"Mohamed","non-dropping-particle":"","parse-names":false,"suffix":""},{"dropping-particle":"","family":"Narasimharao","given":"Katabathini","non-dropping-particle":"","parse-names":false,"suffix":""},{"dropping-particle":"","family":"Retuerto","given":"María","non-dropping-particle":"","parse-names":false,"suffix":""},{"dropping-particle":"","family":"Rojas","given":"Sergio","non-dropping-particle":"","parse-names":false,"suffix":""}],"container-title":"Journal of Power Sources","id":"ITEM-1","issued":{"date-parts":[["2022"]]},"title":"Enhanced stability of SrRuO3 mixed oxide via monovalent doping in Sr1-xKxRuO3 for the oxygen evolution reaction","type":"article-journal","volume":"521"},"uris":["http://www.mendeley.com/documents/?uuid=f0fd9f20-e72a-4990-b90a-6e0c1e1e11e8"]}],"mendeley":{"formattedCitation":"&lt;sup&gt;2&lt;/sup&gt;","plainTextFormattedCitation":"2"},"properties":{"noteIndex":0},"schema":"https://github.com/citation-style-language/schema/raw/master/csl-citation.json"}</w:instrText>
      </w:r>
      <w:r>
        <w:rPr>
          <w:rFonts w:ascii="Garamond" w:hAnsi="Garamond"/>
          <w:sz w:val="24"/>
          <w:szCs w:val="22"/>
        </w:rPr>
        <w:fldChar w:fldCharType="separate"/>
      </w:r>
      <w:r w:rsidRPr="00524953">
        <w:rPr>
          <w:rFonts w:ascii="Garamond" w:hAnsi="Garamond"/>
          <w:noProof/>
          <w:sz w:val="24"/>
          <w:szCs w:val="22"/>
          <w:vertAlign w:val="superscript"/>
        </w:rPr>
        <w:t>2</w:t>
      </w:r>
      <w:r>
        <w:rPr>
          <w:rFonts w:ascii="Garamond" w:hAnsi="Garamond"/>
          <w:sz w:val="24"/>
          <w:szCs w:val="22"/>
        </w:rPr>
        <w:fldChar w:fldCharType="end"/>
      </w:r>
      <w:r w:rsidRPr="00524953">
        <w:rPr>
          <w:rFonts w:ascii="Garamond" w:hAnsi="Garamond"/>
          <w:sz w:val="24"/>
          <w:szCs w:val="22"/>
        </w:rPr>
        <w:t xml:space="preserve"> has been published where doped perovskites have been synthesized as catalysts for OER. Two other works</w:t>
      </w:r>
      <w:r w:rsidR="00B86AB4">
        <w:rPr>
          <w:rFonts w:ascii="Garamond" w:hAnsi="Garamond"/>
          <w:sz w:val="24"/>
          <w:szCs w:val="22"/>
        </w:rPr>
        <w:t>,</w:t>
      </w:r>
      <w:r w:rsidRPr="00524953">
        <w:rPr>
          <w:rFonts w:ascii="Garamond" w:hAnsi="Garamond"/>
          <w:sz w:val="24"/>
          <w:szCs w:val="22"/>
        </w:rPr>
        <w:t xml:space="preserve"> currently in progress</w:t>
      </w:r>
      <w:r w:rsidR="00B86AB4">
        <w:rPr>
          <w:rFonts w:ascii="Garamond" w:hAnsi="Garamond"/>
          <w:sz w:val="24"/>
          <w:szCs w:val="22"/>
        </w:rPr>
        <w:t>,</w:t>
      </w:r>
      <w:r w:rsidRPr="00524953">
        <w:rPr>
          <w:rFonts w:ascii="Garamond" w:hAnsi="Garamond"/>
          <w:sz w:val="24"/>
          <w:szCs w:val="22"/>
        </w:rPr>
        <w:t xml:space="preserve"> deal with double perovskites and quadruple perovskites with low noble metal content for the same purpose. The future line of my thesis will ideally be the design of oxides without noble metals as active and durable catalysts for OER in acid medium.</w:t>
      </w:r>
    </w:p>
    <w:p w14:paraId="0DAC79DF" w14:textId="76DDC206" w:rsidR="0016765C" w:rsidRPr="00524953" w:rsidRDefault="0016765C" w:rsidP="0016765C">
      <w:pPr>
        <w:jc w:val="both"/>
        <w:rPr>
          <w:rFonts w:ascii="Garamond" w:hAnsi="Garamond"/>
          <w:sz w:val="24"/>
          <w:szCs w:val="22"/>
          <w:u w:val="single"/>
        </w:rPr>
      </w:pPr>
    </w:p>
    <w:p w14:paraId="756BE4BF" w14:textId="77777777" w:rsidR="00524953" w:rsidRPr="00815505" w:rsidRDefault="00D22016" w:rsidP="00524953">
      <w:pPr>
        <w:widowControl w:val="0"/>
        <w:autoSpaceDE w:val="0"/>
        <w:autoSpaceDN w:val="0"/>
        <w:adjustRightInd w:val="0"/>
        <w:ind w:left="640" w:hanging="640"/>
        <w:rPr>
          <w:rFonts w:ascii="Garamond" w:hAnsi="Garamond"/>
          <w:b/>
          <w:szCs w:val="22"/>
        </w:rPr>
      </w:pPr>
      <w:r w:rsidRPr="00815505">
        <w:rPr>
          <w:rFonts w:ascii="Garamond" w:hAnsi="Garamond"/>
          <w:b/>
          <w:szCs w:val="22"/>
        </w:rPr>
        <w:t>References</w:t>
      </w:r>
    </w:p>
    <w:p w14:paraId="29D6DFFC" w14:textId="5B12A5B5" w:rsidR="00524953" w:rsidRPr="00524953" w:rsidRDefault="00524953" w:rsidP="00524953">
      <w:pPr>
        <w:widowControl w:val="0"/>
        <w:autoSpaceDE w:val="0"/>
        <w:autoSpaceDN w:val="0"/>
        <w:adjustRightInd w:val="0"/>
        <w:ind w:left="640" w:hanging="640"/>
        <w:rPr>
          <w:rFonts w:ascii="Garamond" w:hAnsi="Garamond"/>
          <w:noProof/>
          <w:szCs w:val="24"/>
        </w:rPr>
      </w:pPr>
      <w:r>
        <w:rPr>
          <w:rFonts w:ascii="Garamond" w:hAnsi="Garamond"/>
          <w:b/>
          <w:szCs w:val="22"/>
          <w:lang w:val="es-ES"/>
        </w:rPr>
        <w:fldChar w:fldCharType="begin" w:fldLock="1"/>
      </w:r>
      <w:r w:rsidRPr="00815505">
        <w:rPr>
          <w:rFonts w:ascii="Garamond" w:hAnsi="Garamond"/>
          <w:b/>
          <w:szCs w:val="22"/>
        </w:rPr>
        <w:instrText xml:space="preserve">ADDIN Mendeley Bibliography CSL_BIBLIOGRAPHY </w:instrText>
      </w:r>
      <w:r>
        <w:rPr>
          <w:rFonts w:ascii="Garamond" w:hAnsi="Garamond"/>
          <w:b/>
          <w:szCs w:val="22"/>
          <w:lang w:val="es-ES"/>
        </w:rPr>
        <w:fldChar w:fldCharType="separate"/>
      </w:r>
      <w:r w:rsidRPr="00524953">
        <w:rPr>
          <w:rFonts w:ascii="Garamond" w:hAnsi="Garamond"/>
          <w:noProof/>
          <w:szCs w:val="24"/>
        </w:rPr>
        <w:t>1.</w:t>
      </w:r>
      <w:r w:rsidRPr="00524953">
        <w:rPr>
          <w:rFonts w:ascii="Garamond" w:hAnsi="Garamond"/>
          <w:noProof/>
          <w:szCs w:val="24"/>
        </w:rPr>
        <w:tab/>
        <w:t xml:space="preserve">Wang, M., Wang, Z., Gong, X. &amp; Guo, Z. The intensification technologies to water electrolysis for hydrogen production - A review. </w:t>
      </w:r>
      <w:r w:rsidRPr="00524953">
        <w:rPr>
          <w:rFonts w:ascii="Garamond" w:hAnsi="Garamond"/>
          <w:i/>
          <w:iCs/>
          <w:noProof/>
          <w:szCs w:val="24"/>
        </w:rPr>
        <w:t>Renew. Sustain. Energy Rev.</w:t>
      </w:r>
      <w:r w:rsidRPr="00524953">
        <w:rPr>
          <w:rFonts w:ascii="Garamond" w:hAnsi="Garamond"/>
          <w:noProof/>
          <w:szCs w:val="24"/>
        </w:rPr>
        <w:t xml:space="preserve"> </w:t>
      </w:r>
      <w:r w:rsidRPr="00524953">
        <w:rPr>
          <w:rFonts w:ascii="Garamond" w:hAnsi="Garamond"/>
          <w:b/>
          <w:bCs/>
          <w:noProof/>
          <w:szCs w:val="24"/>
        </w:rPr>
        <w:t>29</w:t>
      </w:r>
      <w:r w:rsidRPr="00524953">
        <w:rPr>
          <w:rFonts w:ascii="Garamond" w:hAnsi="Garamond"/>
          <w:noProof/>
          <w:szCs w:val="24"/>
        </w:rPr>
        <w:t>, 573–588 (2014).</w:t>
      </w:r>
    </w:p>
    <w:p w14:paraId="024E3A56" w14:textId="473364FA" w:rsidR="00D62846" w:rsidRPr="0016765C" w:rsidRDefault="00524953" w:rsidP="00524953">
      <w:pPr>
        <w:widowControl w:val="0"/>
        <w:autoSpaceDE w:val="0"/>
        <w:autoSpaceDN w:val="0"/>
        <w:adjustRightInd w:val="0"/>
        <w:ind w:left="640" w:hanging="640"/>
        <w:rPr>
          <w:rFonts w:ascii="Garamond" w:hAnsi="Garamond"/>
        </w:rPr>
      </w:pPr>
      <w:r w:rsidRPr="00524953">
        <w:rPr>
          <w:rFonts w:ascii="Garamond" w:hAnsi="Garamond"/>
          <w:noProof/>
          <w:szCs w:val="24"/>
        </w:rPr>
        <w:t>2.</w:t>
      </w:r>
      <w:r w:rsidRPr="00524953">
        <w:rPr>
          <w:rFonts w:ascii="Garamond" w:hAnsi="Garamond"/>
          <w:noProof/>
          <w:szCs w:val="24"/>
        </w:rPr>
        <w:tab/>
        <w:t xml:space="preserve">Rodríguez-García, I. </w:t>
      </w:r>
      <w:r w:rsidRPr="00524953">
        <w:rPr>
          <w:rFonts w:ascii="Garamond" w:hAnsi="Garamond"/>
          <w:i/>
          <w:iCs/>
          <w:noProof/>
          <w:szCs w:val="24"/>
        </w:rPr>
        <w:t>et al.</w:t>
      </w:r>
      <w:r w:rsidRPr="00524953">
        <w:rPr>
          <w:rFonts w:ascii="Garamond" w:hAnsi="Garamond"/>
          <w:noProof/>
          <w:szCs w:val="24"/>
        </w:rPr>
        <w:t xml:space="preserve"> Enhanced stability of SrRuO3 mixed oxide via monovalent doping in Sr1-xKxRuO3 for the oxygen evolution reaction. </w:t>
      </w:r>
      <w:r w:rsidRPr="00524953">
        <w:rPr>
          <w:rFonts w:ascii="Garamond" w:hAnsi="Garamond"/>
          <w:i/>
          <w:iCs/>
          <w:noProof/>
          <w:szCs w:val="24"/>
        </w:rPr>
        <w:t>J. Power Sources</w:t>
      </w:r>
      <w:r w:rsidRPr="00524953">
        <w:rPr>
          <w:rFonts w:ascii="Garamond" w:hAnsi="Garamond"/>
          <w:noProof/>
          <w:szCs w:val="24"/>
        </w:rPr>
        <w:t xml:space="preserve"> </w:t>
      </w:r>
      <w:r w:rsidRPr="00524953">
        <w:rPr>
          <w:rFonts w:ascii="Garamond" w:hAnsi="Garamond"/>
          <w:b/>
          <w:bCs/>
          <w:noProof/>
          <w:szCs w:val="24"/>
        </w:rPr>
        <w:t>521</w:t>
      </w:r>
      <w:r w:rsidRPr="00524953">
        <w:rPr>
          <w:rFonts w:ascii="Garamond" w:hAnsi="Garamond"/>
          <w:noProof/>
          <w:szCs w:val="24"/>
        </w:rPr>
        <w:t>, (2022).</w:t>
      </w:r>
      <w:r>
        <w:rPr>
          <w:rFonts w:ascii="Garamond" w:hAnsi="Garamond"/>
          <w:b/>
          <w:szCs w:val="22"/>
          <w:lang w:val="es-ES"/>
        </w:rPr>
        <w:fldChar w:fldCharType="end"/>
      </w:r>
    </w:p>
    <w:sectPr w:rsidR="00D62846" w:rsidRPr="0016765C" w:rsidSect="00BC798A">
      <w:headerReference w:type="default" r:id="rId8"/>
      <w:footerReference w:type="default" r:id="rId9"/>
      <w:pgSz w:w="11907" w:h="16840" w:code="9"/>
      <w:pgMar w:top="1276" w:right="1701" w:bottom="1135"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ECE8A" w14:textId="77777777" w:rsidR="00DD5994" w:rsidRDefault="00DD5994">
      <w:r>
        <w:separator/>
      </w:r>
    </w:p>
  </w:endnote>
  <w:endnote w:type="continuationSeparator" w:id="0">
    <w:p w14:paraId="0C0FA8FE" w14:textId="77777777" w:rsidR="00DD5994" w:rsidRDefault="00DD5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7F5B8" w14:textId="77777777" w:rsidR="00DD5994" w:rsidRDefault="00DD5994">
      <w:r>
        <w:separator/>
      </w:r>
    </w:p>
  </w:footnote>
  <w:footnote w:type="continuationSeparator" w:id="0">
    <w:p w14:paraId="09E7546A" w14:textId="77777777" w:rsidR="00DD5994" w:rsidRDefault="00DD5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pt-PT"/>
            </w:rPr>
            <w:drawing>
              <wp:inline distT="0" distB="0" distL="0" distR="0" wp14:anchorId="60F4A526" wp14:editId="73713211">
                <wp:extent cx="1705424" cy="95885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A4E"/>
    <w:rsid w:val="00024331"/>
    <w:rsid w:val="000272FA"/>
    <w:rsid w:val="0004082D"/>
    <w:rsid w:val="0007035D"/>
    <w:rsid w:val="00070E59"/>
    <w:rsid w:val="000868A3"/>
    <w:rsid w:val="0009721C"/>
    <w:rsid w:val="000B3EE0"/>
    <w:rsid w:val="000C07A7"/>
    <w:rsid w:val="000D67D5"/>
    <w:rsid w:val="00123F69"/>
    <w:rsid w:val="00143626"/>
    <w:rsid w:val="0016765C"/>
    <w:rsid w:val="00167994"/>
    <w:rsid w:val="001861B6"/>
    <w:rsid w:val="00196CAF"/>
    <w:rsid w:val="001B055B"/>
    <w:rsid w:val="001D7E88"/>
    <w:rsid w:val="00203491"/>
    <w:rsid w:val="00203614"/>
    <w:rsid w:val="00240130"/>
    <w:rsid w:val="00247CD2"/>
    <w:rsid w:val="00286756"/>
    <w:rsid w:val="0028791E"/>
    <w:rsid w:val="00294D00"/>
    <w:rsid w:val="002D1518"/>
    <w:rsid w:val="002D3067"/>
    <w:rsid w:val="002E2D9B"/>
    <w:rsid w:val="00306720"/>
    <w:rsid w:val="003132CF"/>
    <w:rsid w:val="00376AAF"/>
    <w:rsid w:val="003A72D5"/>
    <w:rsid w:val="003E49EB"/>
    <w:rsid w:val="004046B1"/>
    <w:rsid w:val="00446021"/>
    <w:rsid w:val="0047146F"/>
    <w:rsid w:val="00477541"/>
    <w:rsid w:val="004B4453"/>
    <w:rsid w:val="00524953"/>
    <w:rsid w:val="00530879"/>
    <w:rsid w:val="005704FF"/>
    <w:rsid w:val="005859DF"/>
    <w:rsid w:val="005B6B45"/>
    <w:rsid w:val="005C239F"/>
    <w:rsid w:val="005C34DC"/>
    <w:rsid w:val="005D65E5"/>
    <w:rsid w:val="00642C2C"/>
    <w:rsid w:val="0067036C"/>
    <w:rsid w:val="0068256B"/>
    <w:rsid w:val="00686736"/>
    <w:rsid w:val="006A3935"/>
    <w:rsid w:val="006C1127"/>
    <w:rsid w:val="006F69F9"/>
    <w:rsid w:val="0072427B"/>
    <w:rsid w:val="00733CC7"/>
    <w:rsid w:val="007379A4"/>
    <w:rsid w:val="00761A6B"/>
    <w:rsid w:val="00762E10"/>
    <w:rsid w:val="00766762"/>
    <w:rsid w:val="00772B69"/>
    <w:rsid w:val="00786F55"/>
    <w:rsid w:val="007A4E96"/>
    <w:rsid w:val="007C3186"/>
    <w:rsid w:val="007D2205"/>
    <w:rsid w:val="00807D79"/>
    <w:rsid w:val="00815505"/>
    <w:rsid w:val="00825387"/>
    <w:rsid w:val="00830FE6"/>
    <w:rsid w:val="00831359"/>
    <w:rsid w:val="00863D84"/>
    <w:rsid w:val="00881797"/>
    <w:rsid w:val="008A734C"/>
    <w:rsid w:val="008D2399"/>
    <w:rsid w:val="008E5735"/>
    <w:rsid w:val="009227F8"/>
    <w:rsid w:val="00946970"/>
    <w:rsid w:val="009918CD"/>
    <w:rsid w:val="009C6B71"/>
    <w:rsid w:val="009D613A"/>
    <w:rsid w:val="009F0344"/>
    <w:rsid w:val="00A00135"/>
    <w:rsid w:val="00A25F24"/>
    <w:rsid w:val="00A30A49"/>
    <w:rsid w:val="00A4623C"/>
    <w:rsid w:val="00A67F86"/>
    <w:rsid w:val="00A859F9"/>
    <w:rsid w:val="00A924E5"/>
    <w:rsid w:val="00AA4C4D"/>
    <w:rsid w:val="00AB661D"/>
    <w:rsid w:val="00AC0B02"/>
    <w:rsid w:val="00AC26BC"/>
    <w:rsid w:val="00AC597E"/>
    <w:rsid w:val="00AF29EC"/>
    <w:rsid w:val="00B114B7"/>
    <w:rsid w:val="00B20518"/>
    <w:rsid w:val="00B3201F"/>
    <w:rsid w:val="00B45BF0"/>
    <w:rsid w:val="00B608AE"/>
    <w:rsid w:val="00B62A68"/>
    <w:rsid w:val="00B839B1"/>
    <w:rsid w:val="00B86AB4"/>
    <w:rsid w:val="00BA72B5"/>
    <w:rsid w:val="00BC798A"/>
    <w:rsid w:val="00C0179A"/>
    <w:rsid w:val="00C13315"/>
    <w:rsid w:val="00C15271"/>
    <w:rsid w:val="00C32CE8"/>
    <w:rsid w:val="00C82977"/>
    <w:rsid w:val="00C82B92"/>
    <w:rsid w:val="00C93AA1"/>
    <w:rsid w:val="00CB2994"/>
    <w:rsid w:val="00CE31D8"/>
    <w:rsid w:val="00D05F05"/>
    <w:rsid w:val="00D07ACF"/>
    <w:rsid w:val="00D22016"/>
    <w:rsid w:val="00D36B21"/>
    <w:rsid w:val="00D62846"/>
    <w:rsid w:val="00D70AA4"/>
    <w:rsid w:val="00D71A0F"/>
    <w:rsid w:val="00DA02DF"/>
    <w:rsid w:val="00DA1D86"/>
    <w:rsid w:val="00DC222F"/>
    <w:rsid w:val="00DC7A4E"/>
    <w:rsid w:val="00DD5854"/>
    <w:rsid w:val="00DD5994"/>
    <w:rsid w:val="00E01A28"/>
    <w:rsid w:val="00E41EFE"/>
    <w:rsid w:val="00E53EF2"/>
    <w:rsid w:val="00E6580B"/>
    <w:rsid w:val="00E707C4"/>
    <w:rsid w:val="00E9511D"/>
    <w:rsid w:val="00EC099B"/>
    <w:rsid w:val="00EC3AEE"/>
    <w:rsid w:val="00EE418E"/>
    <w:rsid w:val="00F33A8A"/>
    <w:rsid w:val="00F51426"/>
    <w:rsid w:val="00F55D0F"/>
    <w:rsid w:val="00F90D3F"/>
    <w:rsid w:val="00F9269D"/>
    <w:rsid w:val="00FB3710"/>
    <w:rsid w:val="00FB6093"/>
    <w:rsid w:val="00FE47D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styleId="Mencinsinresolver">
    <w:name w:val="Unresolved Mention"/>
    <w:basedOn w:val="Fuentedeprrafopredeter"/>
    <w:uiPriority w:val="99"/>
    <w:semiHidden/>
    <w:unhideWhenUsed/>
    <w:rsid w:val="00DA1D86"/>
    <w:rPr>
      <w:color w:val="605E5C"/>
      <w:shd w:val="clear" w:color="auto" w:fill="E1DFDD"/>
    </w:rPr>
  </w:style>
  <w:style w:type="paragraph" w:styleId="Sinespaciado">
    <w:name w:val="No Spacing"/>
    <w:link w:val="SinespaciadoCar"/>
    <w:uiPriority w:val="1"/>
    <w:qFormat/>
    <w:rsid w:val="00524953"/>
    <w:rPr>
      <w:rFonts w:asciiTheme="minorHAnsi" w:eastAsiaTheme="minorHAnsi" w:hAnsiTheme="minorHAnsi" w:cstheme="minorBidi"/>
      <w:sz w:val="22"/>
      <w:szCs w:val="22"/>
      <w:lang w:val="es-ES" w:eastAsia="en-US"/>
    </w:rPr>
  </w:style>
  <w:style w:type="character" w:customStyle="1" w:styleId="SinespaciadoCar">
    <w:name w:val="Sin espaciado Car"/>
    <w:basedOn w:val="Fuentedeprrafopredeter"/>
    <w:link w:val="Sinespaciado"/>
    <w:uiPriority w:val="1"/>
    <w:rsid w:val="00524953"/>
    <w:rPr>
      <w:rFonts w:asciiTheme="minorHAnsi" w:eastAsiaTheme="minorHAnsi" w:hAnsiTheme="minorHAnsi" w:cstheme="minorBidi"/>
      <w:sz w:val="22"/>
      <w:szCs w:val="22"/>
      <w:lang w:val="es-ES" w:eastAsia="en-US"/>
    </w:rPr>
  </w:style>
  <w:style w:type="paragraph" w:styleId="Revisin">
    <w:name w:val="Revision"/>
    <w:hidden/>
    <w:uiPriority w:val="99"/>
    <w:semiHidden/>
    <w:rsid w:val="00B20518"/>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058478">
      <w:bodyDiv w:val="1"/>
      <w:marLeft w:val="0"/>
      <w:marRight w:val="0"/>
      <w:marTop w:val="0"/>
      <w:marBottom w:val="0"/>
      <w:divBdr>
        <w:top w:val="none" w:sz="0" w:space="0" w:color="auto"/>
        <w:left w:val="none" w:sz="0" w:space="0" w:color="auto"/>
        <w:bottom w:val="none" w:sz="0" w:space="0" w:color="auto"/>
        <w:right w:val="none" w:sz="0" w:space="0" w:color="auto"/>
      </w:divBdr>
    </w:div>
    <w:div w:id="341474170">
      <w:bodyDiv w:val="1"/>
      <w:marLeft w:val="0"/>
      <w:marRight w:val="0"/>
      <w:marTop w:val="0"/>
      <w:marBottom w:val="0"/>
      <w:divBdr>
        <w:top w:val="none" w:sz="0" w:space="0" w:color="auto"/>
        <w:left w:val="none" w:sz="0" w:space="0" w:color="auto"/>
        <w:bottom w:val="none" w:sz="0" w:space="0" w:color="auto"/>
        <w:right w:val="none" w:sz="0" w:space="0" w:color="auto"/>
      </w:divBdr>
    </w:div>
    <w:div w:id="1016731472">
      <w:bodyDiv w:val="1"/>
      <w:marLeft w:val="0"/>
      <w:marRight w:val="0"/>
      <w:marTop w:val="0"/>
      <w:marBottom w:val="0"/>
      <w:divBdr>
        <w:top w:val="none" w:sz="0" w:space="0" w:color="auto"/>
        <w:left w:val="none" w:sz="0" w:space="0" w:color="auto"/>
        <w:bottom w:val="none" w:sz="0" w:space="0" w:color="auto"/>
        <w:right w:val="none" w:sz="0" w:space="0" w:color="auto"/>
      </w:divBdr>
    </w:div>
    <w:div w:id="184388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sabel.r.g@csic.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7D488-F99F-4AEF-92F8-12934DF9F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576</Words>
  <Characters>7846</Characters>
  <Application>Microsoft Office Word</Application>
  <DocSecurity>4</DocSecurity>
  <Lines>65</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Title</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2</cp:revision>
  <cp:lastPrinted>2016-02-23T11:55:00Z</cp:lastPrinted>
  <dcterms:created xsi:type="dcterms:W3CDTF">2022-06-13T09:11:00Z</dcterms:created>
  <dcterms:modified xsi:type="dcterms:W3CDTF">2022-06-13T09:11:00Z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8becfbad-7ce1-3a11-bfc8-12c6dd698afd</vt:lpwstr>
  </property>
  <property fmtid="{D5CDD505-2E9C-101B-9397-08002B2CF9AE}" pid="4" name="Mendeley Citation Style_1">
    <vt:lpwstr>http://www.zotero.org/styles/nature</vt:lpwstr>
  </property>
</Properties>
</file>