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B7705" w14:textId="350B6142" w:rsidR="00EC099B" w:rsidRPr="00D26CC7" w:rsidRDefault="00D26CC7" w:rsidP="00530879">
      <w:pPr>
        <w:pStyle w:val="Ttulo"/>
        <w:spacing w:before="120"/>
        <w:rPr>
          <w:rFonts w:ascii="Garamond" w:hAnsi="Garamond" w:cs="Arial"/>
          <w:lang w:val="en-CA"/>
        </w:rPr>
      </w:pPr>
      <w:r w:rsidRPr="00D26CC7">
        <w:rPr>
          <w:rFonts w:ascii="Garamond" w:hAnsi="Garamond" w:cs="Arial"/>
          <w:lang w:val="en-CA"/>
        </w:rPr>
        <w:t>Electrochemical reduction of CO</w:t>
      </w:r>
      <w:r w:rsidRPr="000B71E9">
        <w:rPr>
          <w:rFonts w:ascii="Garamond" w:hAnsi="Garamond" w:cs="Arial"/>
          <w:vertAlign w:val="subscript"/>
          <w:lang w:val="en-CA"/>
        </w:rPr>
        <w:t>2</w:t>
      </w:r>
      <w:r w:rsidRPr="00D26CC7">
        <w:rPr>
          <w:rFonts w:ascii="Garamond" w:hAnsi="Garamond" w:cs="Arial"/>
          <w:lang w:val="en-CA"/>
        </w:rPr>
        <w:t xml:space="preserve"> from concentrated bicarbonate feed solution</w:t>
      </w:r>
      <w:r w:rsidR="0047146F" w:rsidRPr="00D26CC7">
        <w:rPr>
          <w:rFonts w:ascii="Garamond" w:hAnsi="Garamond" w:cs="Arial"/>
          <w:lang w:val="en-CA"/>
        </w:rPr>
        <w:t xml:space="preserve"> </w:t>
      </w:r>
    </w:p>
    <w:p w14:paraId="6DF1CCC9" w14:textId="77777777" w:rsidR="00EC099B" w:rsidRPr="00D26CC7" w:rsidRDefault="00EC099B" w:rsidP="00530879">
      <w:pPr>
        <w:jc w:val="both"/>
        <w:rPr>
          <w:rFonts w:asciiTheme="minorHAnsi" w:hAnsiTheme="minorHAnsi"/>
          <w:sz w:val="24"/>
          <w:lang w:val="en-CA"/>
        </w:rPr>
      </w:pPr>
    </w:p>
    <w:p w14:paraId="692B1E55" w14:textId="0BA4C9E9" w:rsidR="00EC099B" w:rsidRPr="00830FE6" w:rsidRDefault="00D26CC7" w:rsidP="00830FE6">
      <w:pPr>
        <w:jc w:val="center"/>
        <w:rPr>
          <w:rFonts w:ascii="Garamond" w:hAnsi="Garamond" w:cs="Arial"/>
          <w:sz w:val="24"/>
          <w:lang w:val="es-ES"/>
        </w:rPr>
      </w:pPr>
      <w:r>
        <w:rPr>
          <w:rFonts w:ascii="Garamond" w:hAnsi="Garamond" w:cs="Arial"/>
          <w:sz w:val="24"/>
          <w:u w:val="single"/>
          <w:lang w:val="es-419"/>
        </w:rPr>
        <w:t>Carlos Larrea Castro</w:t>
      </w:r>
    </w:p>
    <w:p w14:paraId="36379D8A" w14:textId="685167F1" w:rsidR="00946970" w:rsidRPr="00D26CC7" w:rsidRDefault="00D26CC7" w:rsidP="00530879">
      <w:pPr>
        <w:jc w:val="center"/>
        <w:rPr>
          <w:rFonts w:ascii="Garamond" w:hAnsi="Garamond"/>
          <w:iCs/>
          <w:sz w:val="22"/>
          <w:szCs w:val="22"/>
          <w:lang w:val="es-419"/>
        </w:rPr>
      </w:pPr>
      <w:r>
        <w:rPr>
          <w:rFonts w:ascii="Garamond" w:hAnsi="Garamond"/>
          <w:iCs/>
          <w:sz w:val="22"/>
          <w:szCs w:val="22"/>
          <w:lang w:val="es-ES"/>
        </w:rPr>
        <w:t xml:space="preserve">Universidad Autónoma de Madrid, </w:t>
      </w:r>
      <w:r w:rsidRPr="00D26CC7">
        <w:rPr>
          <w:rFonts w:ascii="Garamond" w:hAnsi="Garamond"/>
          <w:iCs/>
          <w:sz w:val="22"/>
          <w:szCs w:val="22"/>
          <w:lang w:val="es-ES"/>
        </w:rPr>
        <w:t xml:space="preserve">Ciudad Universitaria de Cantoblanco, Madrid, </w:t>
      </w:r>
      <w:proofErr w:type="spellStart"/>
      <w:r w:rsidRPr="00D26CC7">
        <w:rPr>
          <w:rFonts w:ascii="Garamond" w:hAnsi="Garamond"/>
          <w:iCs/>
          <w:sz w:val="22"/>
          <w:szCs w:val="22"/>
          <w:lang w:val="es-ES"/>
        </w:rPr>
        <w:t>Spain</w:t>
      </w:r>
      <w:proofErr w:type="spellEnd"/>
    </w:p>
    <w:p w14:paraId="303A7D74" w14:textId="3CFF056E" w:rsidR="005B6B45" w:rsidRDefault="00BD1094" w:rsidP="00D26CC7">
      <w:pPr>
        <w:jc w:val="center"/>
        <w:rPr>
          <w:rFonts w:ascii="Garamond" w:hAnsi="Garamond"/>
          <w:iCs/>
          <w:sz w:val="22"/>
          <w:szCs w:val="22"/>
          <w:lang w:val="es-ES"/>
        </w:rPr>
      </w:pPr>
      <w:hyperlink r:id="rId7" w:history="1">
        <w:r w:rsidR="00551284" w:rsidRPr="00380089">
          <w:rPr>
            <w:rStyle w:val="Hipervnculo"/>
            <w:rFonts w:ascii="Garamond" w:hAnsi="Garamond"/>
            <w:iCs/>
            <w:sz w:val="22"/>
            <w:szCs w:val="22"/>
            <w:lang w:val="es-ES"/>
          </w:rPr>
          <w:t>*carlose.larrea@estudiante.uam.es</w:t>
        </w:r>
      </w:hyperlink>
    </w:p>
    <w:p w14:paraId="4663A18F" w14:textId="77777777" w:rsidR="00551284" w:rsidRPr="00D26CC7" w:rsidRDefault="00551284" w:rsidP="00D26CC7">
      <w:pPr>
        <w:jc w:val="center"/>
        <w:rPr>
          <w:rFonts w:ascii="Arial Narrow" w:hAnsi="Arial Narrow"/>
          <w:iCs/>
          <w:sz w:val="22"/>
          <w:szCs w:val="22"/>
          <w:lang w:val="es-ES"/>
        </w:rPr>
      </w:pPr>
    </w:p>
    <w:p w14:paraId="300F3BF0" w14:textId="37E7AF34" w:rsidR="00BD1094" w:rsidRDefault="00BD1094" w:rsidP="00530879">
      <w:pPr>
        <w:jc w:val="both"/>
        <w:rPr>
          <w:rFonts w:ascii="Garamond" w:hAnsi="Garamond"/>
          <w:b/>
          <w:sz w:val="24"/>
          <w:szCs w:val="22"/>
          <w:lang w:val="es-ES"/>
        </w:rPr>
      </w:pPr>
      <w:r w:rsidRPr="000C51A8">
        <w:rPr>
          <w:rFonts w:ascii="Garamond" w:hAnsi="Garamond"/>
          <w:b/>
          <w:sz w:val="24"/>
          <w:szCs w:val="22"/>
          <w:lang w:val="es-ES"/>
        </w:rPr>
        <w:t>Mentor:</w:t>
      </w:r>
      <w:r>
        <w:rPr>
          <w:rFonts w:ascii="Garamond" w:hAnsi="Garamond"/>
          <w:b/>
          <w:sz w:val="24"/>
          <w:szCs w:val="22"/>
          <w:lang w:val="es-ES"/>
        </w:rPr>
        <w:t xml:space="preserve"> </w:t>
      </w:r>
      <w:r w:rsidRPr="00551284">
        <w:rPr>
          <w:rFonts w:ascii="Garamond" w:hAnsi="Garamond"/>
          <w:bCs/>
          <w:sz w:val="24"/>
          <w:szCs w:val="22"/>
          <w:lang w:val="es-ES"/>
        </w:rPr>
        <w:t>Pilar Ocón Esteban</w:t>
      </w:r>
      <w:r>
        <w:rPr>
          <w:rFonts w:ascii="Garamond" w:hAnsi="Garamond"/>
          <w:bCs/>
          <w:sz w:val="24"/>
          <w:szCs w:val="22"/>
          <w:lang w:val="es-ES"/>
        </w:rPr>
        <w:t xml:space="preserve">. </w:t>
      </w:r>
      <w:r>
        <w:rPr>
          <w:rFonts w:ascii="Garamond" w:hAnsi="Garamond"/>
          <w:bCs/>
          <w:sz w:val="24"/>
          <w:szCs w:val="22"/>
          <w:lang w:val="es-ES"/>
        </w:rPr>
        <w:t>Universidad Autónoma de Madrid.</w:t>
      </w:r>
    </w:p>
    <w:p w14:paraId="56238214" w14:textId="0571E338" w:rsidR="00830FE6" w:rsidRDefault="00830FE6" w:rsidP="00530879">
      <w:pPr>
        <w:jc w:val="both"/>
        <w:rPr>
          <w:rFonts w:asciiTheme="minorHAnsi" w:hAnsiTheme="minorHAnsi"/>
          <w:sz w:val="24"/>
          <w:szCs w:val="24"/>
          <w:lang w:val="es-ES"/>
        </w:rPr>
      </w:pPr>
      <w:r w:rsidRPr="00830FE6">
        <w:rPr>
          <w:rFonts w:ascii="Garamond" w:hAnsi="Garamond"/>
          <w:b/>
          <w:sz w:val="24"/>
          <w:szCs w:val="22"/>
          <w:lang w:val="es-ES"/>
        </w:rPr>
        <w:t>Director</w:t>
      </w:r>
      <w:r w:rsidR="00D26CC7">
        <w:rPr>
          <w:rFonts w:ascii="Garamond" w:hAnsi="Garamond"/>
          <w:b/>
          <w:sz w:val="24"/>
          <w:szCs w:val="22"/>
          <w:lang w:val="es-ES"/>
        </w:rPr>
        <w:t>es</w:t>
      </w:r>
      <w:r w:rsidRPr="00830FE6">
        <w:rPr>
          <w:rFonts w:ascii="Garamond" w:hAnsi="Garamond"/>
          <w:b/>
          <w:sz w:val="24"/>
          <w:szCs w:val="22"/>
          <w:lang w:val="es-ES"/>
        </w:rPr>
        <w:t>:</w:t>
      </w:r>
      <w:r w:rsidR="00642C2C" w:rsidRPr="00642C2C">
        <w:rPr>
          <w:rFonts w:ascii="Garamond" w:hAnsi="Garamond"/>
          <w:bCs/>
          <w:sz w:val="24"/>
          <w:szCs w:val="22"/>
          <w:lang w:val="es-ES"/>
        </w:rPr>
        <w:t xml:space="preserve"> </w:t>
      </w:r>
      <w:r w:rsidR="00551284" w:rsidRPr="00551284">
        <w:rPr>
          <w:rFonts w:ascii="Garamond" w:hAnsi="Garamond"/>
          <w:bCs/>
          <w:sz w:val="24"/>
          <w:szCs w:val="22"/>
          <w:lang w:val="es-ES"/>
        </w:rPr>
        <w:t>Pilar Ocón Esteban</w:t>
      </w:r>
      <w:r w:rsidR="00551284">
        <w:rPr>
          <w:rFonts w:ascii="Garamond" w:hAnsi="Garamond"/>
          <w:bCs/>
          <w:sz w:val="24"/>
          <w:szCs w:val="22"/>
          <w:lang w:val="es-ES"/>
        </w:rPr>
        <w:t xml:space="preserve"> </w:t>
      </w:r>
      <w:r w:rsidR="00BD1094">
        <w:rPr>
          <w:rFonts w:ascii="Garamond" w:hAnsi="Garamond"/>
          <w:bCs/>
          <w:sz w:val="24"/>
          <w:szCs w:val="22"/>
          <w:lang w:val="es-ES"/>
        </w:rPr>
        <w:t>and</w:t>
      </w:r>
      <w:r w:rsidR="00551284" w:rsidRPr="00551284">
        <w:rPr>
          <w:rFonts w:ascii="Garamond" w:hAnsi="Garamond"/>
          <w:bCs/>
          <w:sz w:val="24"/>
          <w:szCs w:val="22"/>
          <w:lang w:val="es-ES"/>
        </w:rPr>
        <w:t xml:space="preserve"> Juan Ramón Avilés Moreno,</w:t>
      </w:r>
      <w:r w:rsidR="00551284">
        <w:rPr>
          <w:rFonts w:ascii="Garamond" w:hAnsi="Garamond"/>
          <w:bCs/>
          <w:sz w:val="24"/>
          <w:szCs w:val="22"/>
          <w:lang w:val="es-ES"/>
        </w:rPr>
        <w:t xml:space="preserve"> Universidad Autónoma de Madrid.</w:t>
      </w:r>
    </w:p>
    <w:p w14:paraId="2F7D1FEF" w14:textId="77777777" w:rsidR="00830FE6" w:rsidRPr="00EE418E" w:rsidRDefault="00830FE6" w:rsidP="00530879">
      <w:pPr>
        <w:jc w:val="both"/>
        <w:rPr>
          <w:rFonts w:asciiTheme="minorHAnsi" w:hAnsiTheme="minorHAnsi"/>
          <w:sz w:val="24"/>
          <w:szCs w:val="24"/>
          <w:lang w:val="es-ES"/>
        </w:rPr>
      </w:pPr>
    </w:p>
    <w:p w14:paraId="4EEBA401" w14:textId="5E2FE9E8" w:rsidR="0016765C" w:rsidRPr="0016765C" w:rsidRDefault="0016765C" w:rsidP="0016765C">
      <w:pPr>
        <w:jc w:val="both"/>
        <w:rPr>
          <w:rFonts w:ascii="Garamond" w:hAnsi="Garamond"/>
          <w:b/>
          <w:sz w:val="24"/>
          <w:szCs w:val="22"/>
          <w:lang w:val="es-ES"/>
        </w:rPr>
      </w:pPr>
      <w:proofErr w:type="spellStart"/>
      <w:r w:rsidRPr="0016765C">
        <w:rPr>
          <w:rFonts w:ascii="Garamond" w:hAnsi="Garamond"/>
          <w:b/>
          <w:sz w:val="24"/>
          <w:szCs w:val="22"/>
          <w:lang w:val="es-ES"/>
        </w:rPr>
        <w:t>Abstract</w:t>
      </w:r>
      <w:proofErr w:type="spellEnd"/>
      <w:r w:rsidRPr="0016765C">
        <w:rPr>
          <w:rFonts w:ascii="Garamond" w:hAnsi="Garamond"/>
          <w:b/>
          <w:sz w:val="24"/>
          <w:szCs w:val="22"/>
          <w:lang w:val="es-ES"/>
        </w:rPr>
        <w:t xml:space="preserve"> </w:t>
      </w:r>
    </w:p>
    <w:p w14:paraId="05028935" w14:textId="5B58F731" w:rsidR="00EE418E" w:rsidRPr="00BE6EBA" w:rsidRDefault="00F14F62" w:rsidP="00BE6EBA">
      <w:pPr>
        <w:ind w:right="49"/>
        <w:jc w:val="both"/>
        <w:rPr>
          <w:rFonts w:ascii="Garamond" w:hAnsi="Garamond"/>
          <w:sz w:val="24"/>
          <w:szCs w:val="22"/>
          <w:lang w:val="en-CA"/>
        </w:rPr>
      </w:pPr>
      <w:r w:rsidRPr="003923DD">
        <w:rPr>
          <w:rFonts w:ascii="Garamond" w:hAnsi="Garamond"/>
          <w:sz w:val="24"/>
          <w:szCs w:val="22"/>
          <w:lang w:val="en-CA"/>
        </w:rPr>
        <w:t>The electrochemical reduction of CO</w:t>
      </w:r>
      <w:r w:rsidRPr="003923DD">
        <w:rPr>
          <w:rFonts w:ascii="Garamond" w:hAnsi="Garamond"/>
          <w:sz w:val="24"/>
          <w:szCs w:val="22"/>
          <w:vertAlign w:val="subscript"/>
          <w:lang w:val="en-CA"/>
        </w:rPr>
        <w:t>2</w:t>
      </w:r>
      <w:r w:rsidRPr="003923DD">
        <w:rPr>
          <w:rFonts w:ascii="Garamond" w:hAnsi="Garamond"/>
          <w:sz w:val="24"/>
          <w:szCs w:val="22"/>
          <w:lang w:val="en-CA"/>
        </w:rPr>
        <w:t xml:space="preserve"> (CO2RR) offers a scalable </w:t>
      </w:r>
      <w:r w:rsidR="00B456EF">
        <w:rPr>
          <w:rFonts w:ascii="Garamond" w:hAnsi="Garamond"/>
          <w:sz w:val="24"/>
          <w:szCs w:val="22"/>
          <w:lang w:val="en-CA"/>
        </w:rPr>
        <w:t>solution</w:t>
      </w:r>
      <w:r w:rsidRPr="003923DD">
        <w:rPr>
          <w:rFonts w:ascii="Garamond" w:hAnsi="Garamond"/>
          <w:sz w:val="24"/>
          <w:szCs w:val="22"/>
          <w:lang w:val="en-CA"/>
        </w:rPr>
        <w:t xml:space="preserve"> </w:t>
      </w:r>
      <w:r w:rsidR="00B456EF">
        <w:rPr>
          <w:rFonts w:ascii="Garamond" w:hAnsi="Garamond"/>
          <w:sz w:val="24"/>
          <w:szCs w:val="22"/>
          <w:lang w:val="en-CA"/>
        </w:rPr>
        <w:t>for</w:t>
      </w:r>
      <w:r w:rsidRPr="003923DD">
        <w:rPr>
          <w:rFonts w:ascii="Garamond" w:hAnsi="Garamond"/>
          <w:sz w:val="24"/>
          <w:szCs w:val="22"/>
          <w:lang w:val="en-CA"/>
        </w:rPr>
        <w:t xml:space="preserve"> converting this greenhouse gas into </w:t>
      </w:r>
      <w:r w:rsidR="001461F9" w:rsidRPr="003923DD">
        <w:rPr>
          <w:rFonts w:ascii="Garamond" w:hAnsi="Garamond"/>
          <w:sz w:val="24"/>
          <w:szCs w:val="22"/>
          <w:lang w:val="en-CA"/>
        </w:rPr>
        <w:t>valuable</w:t>
      </w:r>
      <w:r w:rsidRPr="003923DD">
        <w:rPr>
          <w:rFonts w:ascii="Garamond" w:hAnsi="Garamond"/>
          <w:sz w:val="24"/>
          <w:szCs w:val="22"/>
          <w:lang w:val="en-CA"/>
        </w:rPr>
        <w:t xml:space="preserve"> chemicals and fuels. Using concentrated </w:t>
      </w:r>
      <w:r w:rsidR="003923DD" w:rsidRPr="003923DD">
        <w:rPr>
          <w:rFonts w:ascii="Garamond" w:hAnsi="Garamond"/>
          <w:sz w:val="24"/>
          <w:szCs w:val="22"/>
          <w:lang w:val="en-CA"/>
        </w:rPr>
        <w:t xml:space="preserve">potassium </w:t>
      </w:r>
      <w:r w:rsidRPr="003923DD">
        <w:rPr>
          <w:rFonts w:ascii="Garamond" w:hAnsi="Garamond"/>
          <w:sz w:val="24"/>
          <w:szCs w:val="22"/>
          <w:lang w:val="en-CA"/>
        </w:rPr>
        <w:t>bicarbonate as carbon feedstock for CO2RR provides potential solutions to the most challenging problems of working with a purely gaseous CO</w:t>
      </w:r>
      <w:r w:rsidRPr="003923DD">
        <w:rPr>
          <w:rFonts w:ascii="Garamond" w:hAnsi="Garamond"/>
          <w:sz w:val="24"/>
          <w:szCs w:val="22"/>
          <w:vertAlign w:val="subscript"/>
          <w:lang w:val="en-CA"/>
        </w:rPr>
        <w:t>2</w:t>
      </w:r>
      <w:r w:rsidRPr="003923DD">
        <w:rPr>
          <w:rFonts w:ascii="Garamond" w:hAnsi="Garamond"/>
          <w:sz w:val="24"/>
          <w:szCs w:val="22"/>
          <w:lang w:val="en-CA"/>
        </w:rPr>
        <w:t xml:space="preserve"> feed. </w:t>
      </w:r>
      <w:r w:rsidR="003923DD" w:rsidRPr="003923DD">
        <w:rPr>
          <w:rFonts w:ascii="Garamond" w:hAnsi="Garamond"/>
          <w:sz w:val="24"/>
          <w:szCs w:val="22"/>
          <w:lang w:val="en-CA"/>
        </w:rPr>
        <w:t xml:space="preserve">Even though the current performance of bicarbonate electrolysers </w:t>
      </w:r>
      <w:r w:rsidR="001461F9" w:rsidRPr="003923DD">
        <w:rPr>
          <w:rFonts w:ascii="Garamond" w:hAnsi="Garamond"/>
          <w:sz w:val="24"/>
          <w:szCs w:val="22"/>
          <w:lang w:val="en-CA"/>
        </w:rPr>
        <w:t>lag</w:t>
      </w:r>
      <w:r w:rsidR="003923DD" w:rsidRPr="003923DD">
        <w:rPr>
          <w:rFonts w:ascii="Garamond" w:hAnsi="Garamond"/>
          <w:sz w:val="24"/>
          <w:szCs w:val="22"/>
          <w:lang w:val="en-CA"/>
        </w:rPr>
        <w:t xml:space="preserve"> </w:t>
      </w:r>
      <w:r w:rsidR="001461F9">
        <w:rPr>
          <w:rFonts w:ascii="Garamond" w:hAnsi="Garamond"/>
          <w:sz w:val="24"/>
          <w:szCs w:val="22"/>
          <w:lang w:val="en-CA"/>
        </w:rPr>
        <w:t xml:space="preserve">behind </w:t>
      </w:r>
      <w:r w:rsidR="003923DD" w:rsidRPr="003923DD">
        <w:rPr>
          <w:rFonts w:ascii="Garamond" w:hAnsi="Garamond"/>
          <w:sz w:val="24"/>
          <w:szCs w:val="22"/>
          <w:lang w:val="en-CA"/>
        </w:rPr>
        <w:t>gas-fed CO</w:t>
      </w:r>
      <w:r w:rsidR="003923DD" w:rsidRPr="003923DD">
        <w:rPr>
          <w:rFonts w:ascii="Garamond" w:hAnsi="Garamond"/>
          <w:sz w:val="24"/>
          <w:szCs w:val="22"/>
          <w:vertAlign w:val="subscript"/>
          <w:lang w:val="en-CA"/>
        </w:rPr>
        <w:t>2</w:t>
      </w:r>
      <w:r w:rsidR="003923DD" w:rsidRPr="003923DD">
        <w:rPr>
          <w:rFonts w:ascii="Garamond" w:hAnsi="Garamond"/>
          <w:sz w:val="24"/>
          <w:szCs w:val="22"/>
          <w:lang w:val="en-CA"/>
        </w:rPr>
        <w:t xml:space="preserve"> electrolysers</w:t>
      </w:r>
      <w:r w:rsidR="001461F9">
        <w:rPr>
          <w:rFonts w:ascii="Garamond" w:hAnsi="Garamond"/>
          <w:sz w:val="24"/>
          <w:szCs w:val="22"/>
          <w:lang w:val="en-CA"/>
        </w:rPr>
        <w:t>, its superior CO</w:t>
      </w:r>
      <w:r w:rsidR="001461F9" w:rsidRPr="001461F9">
        <w:rPr>
          <w:rFonts w:ascii="Garamond" w:hAnsi="Garamond"/>
          <w:sz w:val="24"/>
          <w:szCs w:val="22"/>
          <w:vertAlign w:val="subscript"/>
          <w:lang w:val="en-CA"/>
        </w:rPr>
        <w:t>2</w:t>
      </w:r>
      <w:r w:rsidR="001461F9">
        <w:rPr>
          <w:rFonts w:ascii="Garamond" w:hAnsi="Garamond"/>
          <w:sz w:val="24"/>
          <w:szCs w:val="22"/>
          <w:lang w:val="en-CA"/>
        </w:rPr>
        <w:t xml:space="preserve"> utilization</w:t>
      </w:r>
      <w:r w:rsidR="00AB2A3A">
        <w:rPr>
          <w:rFonts w:ascii="Garamond" w:hAnsi="Garamond"/>
          <w:sz w:val="24"/>
          <w:szCs w:val="22"/>
          <w:lang w:val="en-CA"/>
        </w:rPr>
        <w:t xml:space="preserve"> values and latest advances </w:t>
      </w:r>
      <w:proofErr w:type="gramStart"/>
      <w:r w:rsidR="00AB2A3A">
        <w:rPr>
          <w:rFonts w:ascii="Garamond" w:hAnsi="Garamond"/>
          <w:sz w:val="24"/>
          <w:szCs w:val="22"/>
          <w:lang w:val="en-CA"/>
        </w:rPr>
        <w:t>show</w:t>
      </w:r>
      <w:proofErr w:type="gramEnd"/>
      <w:r w:rsidR="00AB2A3A">
        <w:rPr>
          <w:rFonts w:ascii="Garamond" w:hAnsi="Garamond"/>
          <w:sz w:val="24"/>
          <w:szCs w:val="22"/>
          <w:lang w:val="en-CA"/>
        </w:rPr>
        <w:t xml:space="preserve"> promise of this novel mode of operation. </w:t>
      </w:r>
      <w:r w:rsidR="00A35E7A" w:rsidRPr="00A35E7A">
        <w:rPr>
          <w:rFonts w:ascii="Garamond" w:hAnsi="Garamond"/>
          <w:sz w:val="24"/>
          <w:szCs w:val="22"/>
          <w:lang w:val="en-CA"/>
        </w:rPr>
        <w:t xml:space="preserve">This presentation will </w:t>
      </w:r>
      <w:proofErr w:type="gramStart"/>
      <w:r w:rsidR="00A35E7A" w:rsidRPr="00A35E7A">
        <w:rPr>
          <w:rFonts w:ascii="Garamond" w:hAnsi="Garamond"/>
          <w:sz w:val="24"/>
          <w:szCs w:val="22"/>
          <w:lang w:val="en-CA"/>
        </w:rPr>
        <w:t>look into</w:t>
      </w:r>
      <w:proofErr w:type="gramEnd"/>
      <w:r w:rsidR="00A35E7A" w:rsidRPr="00A35E7A">
        <w:rPr>
          <w:rFonts w:ascii="Garamond" w:hAnsi="Garamond"/>
          <w:sz w:val="24"/>
          <w:szCs w:val="22"/>
          <w:lang w:val="en-CA"/>
        </w:rPr>
        <w:t xml:space="preserve"> the CO2RR process from concentrated bicarbonate electrolyte. </w:t>
      </w:r>
      <w:r w:rsidR="00B456EF" w:rsidRPr="00B456EF">
        <w:rPr>
          <w:rFonts w:ascii="Garamond" w:hAnsi="Garamond"/>
          <w:sz w:val="24"/>
          <w:szCs w:val="22"/>
          <w:lang w:val="en-CA"/>
        </w:rPr>
        <w:t xml:space="preserve">Our latest research has focused on </w:t>
      </w:r>
      <w:r w:rsidR="00B456EF">
        <w:rPr>
          <w:rFonts w:ascii="Garamond" w:hAnsi="Garamond"/>
          <w:sz w:val="24"/>
          <w:szCs w:val="22"/>
          <w:lang w:val="en-CA"/>
        </w:rPr>
        <w:t>modifying the silver-based cathode and the catholyte solution i</w:t>
      </w:r>
      <w:r w:rsidR="00B456EF" w:rsidRPr="00B456EF">
        <w:rPr>
          <w:rFonts w:ascii="Garamond" w:hAnsi="Garamond"/>
          <w:sz w:val="24"/>
          <w:szCs w:val="22"/>
          <w:lang w:val="en-CA"/>
        </w:rPr>
        <w:t>n a zero-gap MEA flow cell configuration</w:t>
      </w:r>
      <w:r w:rsidR="00B456EF">
        <w:rPr>
          <w:rFonts w:ascii="Garamond" w:hAnsi="Garamond"/>
          <w:sz w:val="24"/>
          <w:szCs w:val="22"/>
          <w:lang w:val="en-CA"/>
        </w:rPr>
        <w:t xml:space="preserve"> to enhance the selectivity of CO2RR towards CO</w:t>
      </w:r>
      <w:r w:rsidR="00B456EF" w:rsidRPr="00B456EF">
        <w:rPr>
          <w:rFonts w:ascii="Garamond" w:hAnsi="Garamond"/>
          <w:sz w:val="24"/>
          <w:szCs w:val="22"/>
          <w:lang w:val="en-CA"/>
        </w:rPr>
        <w:t xml:space="preserve">. The parameters evaluated include </w:t>
      </w:r>
      <w:r w:rsidR="00B456EF">
        <w:rPr>
          <w:rFonts w:ascii="Garamond" w:hAnsi="Garamond"/>
          <w:sz w:val="24"/>
          <w:szCs w:val="22"/>
          <w:lang w:val="en-CA"/>
        </w:rPr>
        <w:t xml:space="preserve">current density, </w:t>
      </w:r>
      <w:r w:rsidR="00B456EF" w:rsidRPr="00B456EF">
        <w:rPr>
          <w:rFonts w:ascii="Garamond" w:hAnsi="Garamond"/>
          <w:sz w:val="24"/>
          <w:szCs w:val="22"/>
          <w:lang w:val="en-CA"/>
        </w:rPr>
        <w:t xml:space="preserve">cell potential, </w:t>
      </w:r>
      <w:r w:rsidR="00A35E7A">
        <w:rPr>
          <w:rFonts w:ascii="Garamond" w:hAnsi="Garamond"/>
          <w:sz w:val="24"/>
          <w:szCs w:val="22"/>
          <w:lang w:val="en-CA"/>
        </w:rPr>
        <w:t xml:space="preserve">system stability </w:t>
      </w:r>
      <w:r w:rsidR="00B456EF" w:rsidRPr="00B456EF">
        <w:rPr>
          <w:rFonts w:ascii="Garamond" w:hAnsi="Garamond"/>
          <w:sz w:val="24"/>
          <w:szCs w:val="22"/>
          <w:lang w:val="en-CA"/>
        </w:rPr>
        <w:t xml:space="preserve">and residual CO2 concentration. Finally, this presentation will discuss the current state of development of this technology and its outlook. </w:t>
      </w:r>
      <w:r w:rsidR="001461F9">
        <w:rPr>
          <w:rFonts w:ascii="Garamond" w:hAnsi="Garamond"/>
          <w:sz w:val="24"/>
          <w:szCs w:val="22"/>
          <w:lang w:val="en-CA"/>
        </w:rPr>
        <w:t xml:space="preserve"> </w:t>
      </w:r>
      <w:r w:rsidR="003923DD" w:rsidRPr="003923DD">
        <w:rPr>
          <w:rFonts w:ascii="Garamond" w:hAnsi="Garamond"/>
          <w:sz w:val="24"/>
          <w:szCs w:val="22"/>
          <w:lang w:val="en-CA"/>
        </w:rPr>
        <w:t xml:space="preserve"> </w:t>
      </w:r>
      <w:r w:rsidR="00BE6EBA" w:rsidRPr="00BE6EBA">
        <w:rPr>
          <w:rFonts w:ascii="Garamond" w:hAnsi="Garamond"/>
          <w:color w:val="FFFFFF" w:themeColor="background1"/>
          <w:sz w:val="24"/>
          <w:szCs w:val="22"/>
          <w:lang w:val="en-CA"/>
        </w:rPr>
        <w:fldChar w:fldCharType="begin" w:fldLock="1"/>
      </w:r>
      <w:r w:rsidR="00BE6EBA">
        <w:rPr>
          <w:rFonts w:ascii="Garamond" w:hAnsi="Garamond"/>
          <w:color w:val="FFFFFF" w:themeColor="background1"/>
          <w:sz w:val="24"/>
          <w:szCs w:val="22"/>
          <w:lang w:val="en-CA"/>
        </w:rPr>
        <w:instrText xml:space="preserve">ADDIN CSL_CITATION {"citationItems":[{"id":"ITEM-1","itemData":{"DOI":"https://doi.org/10.1016/j.joule.2019.05.021","ISSN":"2542-4351","abstract":"Summary\nElectrolyzers designed to convert CO2 into carbon products typically rely on a gaseous CO2 feedstock or CO2-saturated electrolyte. We show herein that aqueous HCO3− solutions can also be electrochemically converted into CO gas at meaningful rates in a flow cell containing a bipolar membrane (BPM). Electrolysis upon a N2-saturated 3.0 M KHCO3 solution yields CO with a faradic efficiency of 81% at 25 mA cm−2 and 37% at 100 mA cm−2, outputs that are comparable to the analogous experiment where the bicarbonate solution is saturated with gaseous CO2. This electrolytic process is made possible by the membrane delivering protons for reaction with the bicarbonate feed to form electrocatalytically active CO2. This reaction pathway offers the potential to use electrolysis to bypass the thermally intensive step of extracting CO2 from HCO3− solutions generated in carbon-capture schemes.","author":[{"dropping-particle":"","family":"Li","given":"Tengfei","non-dropping-particle":"","parse-names":false,"suffix":""},{"dropping-particle":"","family":"Lees","given":"Eric W","non-dropping-particle":"","parse-names":false,"suffix":""},{"dropping-particle":"","family":"Goldman","given":"Maxwell","non-dropping-particle":"","parse-names":false,"suffix":""},{"dropping-particle":"","family":"Salvatore","given":"Danielle A","non-dropping-particle":"","parse-names":false,"suffix":""},{"dropping-particle":"","family":"Weekes","given":"David M","non-dropping-particle":"","parse-names":false,"suffix":""},{"dropping-particle":"","family":"Berlinguette","given":"Curtis P","non-dropping-particle":"","parse-names":false,"suffix":""}],"container-title":"Joule","id":"ITEM-1","issue":"6","issued":{"date-parts":[["2019"]]},"page":"1487-1497","title":"Electrolytic Conversion of Bicarbonate into CO in a Flow Cell","type":"article-journal","volume":"3"},"uris":["http://www.mendeley.com/documents/?uuid=fb7db439-7127-49b3-a05c-f969c67705af"]},{"id":"ITEM-2","itemData":{"DOI":"10.1021/acsenergylett.0c00898","abstract":"The deployment of electrolyzers that convert CO2 into chemicals and fuels requires appropriate integration with upstream carbon capture processes. To this end, the electrolytic conversion of aqueous (bi)carbonate offers the opportunity to avoid the energy-intensive steps currently used to extract pressurized CO2 from carbon capture solutions. We demonstrate here that an optimized silver gas diffusion electrode (GDE) architecture enables conversion of model carbon capture solutions (i.e., 3 M KHCO3) into CO at partial current densities (JCO) greater than 100 mA cm–2 with CO2 utilization rates of </w:instrText>
      </w:r>
      <w:r w:rsidR="00BE6EBA">
        <w:rPr>
          <w:rFonts w:ascii="Cambria Math" w:hAnsi="Cambria Math" w:cs="Cambria Math"/>
          <w:color w:val="FFFFFF" w:themeColor="background1"/>
          <w:sz w:val="24"/>
          <w:szCs w:val="22"/>
          <w:lang w:val="en-CA"/>
        </w:rPr>
        <w:instrText>∼</w:instrText>
      </w:r>
      <w:r w:rsidR="00BE6EBA">
        <w:rPr>
          <w:rFonts w:ascii="Garamond" w:hAnsi="Garamond"/>
          <w:color w:val="FFFFFF" w:themeColor="background1"/>
          <w:sz w:val="24"/>
          <w:szCs w:val="22"/>
          <w:lang w:val="en-CA"/>
        </w:rPr>
        <w:instrText>70%. These results exceed the performance of any previously reported liquid-fed CO2 electrolyzers and rival gas-fed devices. We were able to hit these metrics through the systematic design of gas diffusion layer (GDL) components (e.g., polytetrafluoroethylene) and catalyst layer constituents (i.e., Nafion, silver) on CO production. A key finding of this work is that hydrophobic GDE components (which are common to gas-fed CO2RR electrolyzers) decrease in situ CO2 generation and thus the formation of the final CO product. These findings show a clear path toward industrially relevant reactors that couple electrolytic CO2 conversion with carbon capture.","author":[{"dropping-particle":"","family":"Lees","given":"Eric W","non-dropping-particle":"","parse-names":false,"suffix":""},{"dropping-particle":"","family":"Goldman","given":"Maxwell","non-dropping-particle":"","parse-names":false,"suffix":""},{"dropping-particle":"","family":"Fink","given":"Arthur G","non-dropping-particle":"","parse-names":false,"suffix":""},{"dropping-particle":"","family":"Dvorak","given":"David J","non-dropping-particle":"","parse-names":false,"suffix":""},{"dropping-particle":"","family":"Salvatore","given":"Danielle A","non-dropping-particle":"","parse-names":false,"suffix":""},{"dropping-particle":"","family":"Zhang","given":"Zishuai","non-dropping-particle":"","parse-names":false,"suffix":""},{"dropping-particle":"","family":"Loo","given":"Nicholas W X","non-dropping-particle":"","parse-names":false,"suffix":""},{"dropping-particle":"","family":"Berlinguette","given":"Curtis P","non-dropping-particle":"","parse-names":false,"suffix":""}],"container-title":"ACS Energy Letters","id":"ITEM-2","issue":"7","issued":{"date-parts":[["2020","7","10"]]},"note":"doi: 10.1021/acsenergylett.0c00898","page":"2165-2173","publisher":"American Chemical Society","title":"Electrodes Designed for Converting Bicarbonate into CO","type":"article-journal","volume":"5"},"uris":["http://www.mendeley.com/documents/?uuid=3326539f-ff0c-49e5-a86c-74d1215b273a"]}],"mendeley":{"formattedCitation":"[1], [2]","plainTextFormattedCitation":"[1], [2]","previouslyFormattedCitation":"&lt;sup&gt;1,2&lt;/sup&gt;"},"properties":{"noteIndex":0},"schema":"https://github.com/citation-style-language/schema/raw/master/csl-citation.json"}</w:instrText>
      </w:r>
      <w:r w:rsidR="00BE6EBA" w:rsidRPr="00BE6EBA">
        <w:rPr>
          <w:rFonts w:ascii="Garamond" w:hAnsi="Garamond"/>
          <w:color w:val="FFFFFF" w:themeColor="background1"/>
          <w:sz w:val="24"/>
          <w:szCs w:val="22"/>
          <w:lang w:val="en-CA"/>
        </w:rPr>
        <w:fldChar w:fldCharType="separate"/>
      </w:r>
      <w:r w:rsidR="00BE6EBA" w:rsidRPr="00BE6EBA">
        <w:rPr>
          <w:rFonts w:ascii="Garamond" w:hAnsi="Garamond"/>
          <w:noProof/>
          <w:color w:val="FFFFFF" w:themeColor="background1"/>
          <w:sz w:val="24"/>
          <w:szCs w:val="22"/>
          <w:lang w:val="en-CA"/>
        </w:rPr>
        <w:t>[1], [2]</w:t>
      </w:r>
      <w:r w:rsidR="00BE6EBA" w:rsidRPr="00BE6EBA">
        <w:rPr>
          <w:rFonts w:ascii="Garamond" w:hAnsi="Garamond"/>
          <w:color w:val="FFFFFF" w:themeColor="background1"/>
          <w:sz w:val="24"/>
          <w:szCs w:val="22"/>
          <w:lang w:val="en-CA"/>
        </w:rPr>
        <w:fldChar w:fldCharType="end"/>
      </w:r>
      <w:r w:rsidR="00BE6EBA" w:rsidRPr="00BE6EBA">
        <w:rPr>
          <w:rFonts w:ascii="Garamond" w:hAnsi="Garamond"/>
          <w:color w:val="FFFFFF" w:themeColor="background1"/>
          <w:sz w:val="24"/>
          <w:szCs w:val="22"/>
          <w:lang w:val="en-CA"/>
        </w:rPr>
        <w:fldChar w:fldCharType="begin" w:fldLock="1"/>
      </w:r>
      <w:r w:rsidR="00BE6EBA">
        <w:rPr>
          <w:rFonts w:ascii="Garamond" w:hAnsi="Garamond"/>
          <w:color w:val="FFFFFF" w:themeColor="background1"/>
          <w:sz w:val="24"/>
          <w:szCs w:val="22"/>
          <w:lang w:val="en-CA"/>
        </w:rPr>
        <w:instrText>ADDIN CSL_CITATION {"citationItems":[{"id":"ITEM-1","itemData":{"DOI":"https://doi.org/10.1016/j.apsusc.2016.12.069","ISSN":"0169-4332","abstract":"Electrochemical CO2 reduction provides a desirable pathway to convert greenhouse gas into useful chemicals. It is a great challenge to reduce CO2 efficiently in aqueous solution, especially on commercial bulk metal electrodes. Here, we report substantial improvement in CO2 reduction on bulk silver electrode through the introduction of ionic surfactant in aqueous electrolyte. The hydrogen evolution on the electrode surface is greatly suppressed by the surfactant, while the catalytic ability of silver towards CO2 reduction is maintained. The Faradaic efficiency for CO is greatly enhanced from 50% to 95% after the addition of this low-cost surfactant. This study may provide new pathways towards efficient CO2 reduction through the inhibition of proton reduction.","author":[{"dropping-particle":"","family":"Quan","given":"Fengjiao","non-dropping-particle":"","parse-names":false,"suffix":""},{"dropping-particle":"","family":"Xiong","given":"Mubing","non-dropping-particle":"","parse-names":false,"suffix":""},{"dropping-particle":"","family":"Jia","given":"Falong","non-dropping-particle":"","parse-names":false,"suffix":""},{"dropping-particle":"","family":"Zhang","given":"Lizhi","non-dropping-particle":"","parse-names":false,"suffix":""}],"container-title":"Applied Surface Science","id":"ITEM-1","issued":{"date-parts":[["2017"]]},"page":"48-54","title":"Efficient electroreduction of CO2 on bulk silver electrode in aqueous solution via the inhibition of hydrogen evolution","type":"article-journal","volume":"399"},"uris":["http://www.mendeley.com/documents/?uuid=97319d39-7161-4c6f-a135-949502181e7b"]}],"mendeley":{"formattedCitation":"[3]","plainTextFormattedCitation":"[3]","previouslyFormattedCitation":"&lt;sup&gt;3&lt;/sup&gt;"},"properties":{"noteIndex":0},"schema":"https://github.com/citation-style-language/schema/raw/master/csl-citation.json"}</w:instrText>
      </w:r>
      <w:r w:rsidR="00BE6EBA" w:rsidRPr="00BE6EBA">
        <w:rPr>
          <w:rFonts w:ascii="Garamond" w:hAnsi="Garamond"/>
          <w:color w:val="FFFFFF" w:themeColor="background1"/>
          <w:sz w:val="24"/>
          <w:szCs w:val="22"/>
          <w:lang w:val="en-CA"/>
        </w:rPr>
        <w:fldChar w:fldCharType="separate"/>
      </w:r>
      <w:r w:rsidR="00BE6EBA" w:rsidRPr="00BE6EBA">
        <w:rPr>
          <w:rFonts w:ascii="Garamond" w:hAnsi="Garamond"/>
          <w:noProof/>
          <w:color w:val="FFFFFF" w:themeColor="background1"/>
          <w:sz w:val="24"/>
          <w:szCs w:val="22"/>
          <w:lang w:val="en-CA"/>
        </w:rPr>
        <w:t>[3]</w:t>
      </w:r>
      <w:r w:rsidR="00BE6EBA" w:rsidRPr="00BE6EBA">
        <w:rPr>
          <w:rFonts w:ascii="Garamond" w:hAnsi="Garamond"/>
          <w:color w:val="FFFFFF" w:themeColor="background1"/>
          <w:sz w:val="24"/>
          <w:szCs w:val="22"/>
          <w:lang w:val="en-CA"/>
        </w:rPr>
        <w:fldChar w:fldCharType="end"/>
      </w:r>
    </w:p>
    <w:tbl>
      <w:tblPr>
        <w:tblW w:w="7371" w:type="dxa"/>
        <w:jc w:val="center"/>
        <w:tblLook w:val="04A0" w:firstRow="1" w:lastRow="0" w:firstColumn="1" w:lastColumn="0" w:noHBand="0" w:noVBand="1"/>
      </w:tblPr>
      <w:tblGrid>
        <w:gridCol w:w="7371"/>
      </w:tblGrid>
      <w:tr w:rsidR="00C13315" w:rsidRPr="0016765C" w14:paraId="084B0F4A" w14:textId="77777777" w:rsidTr="002F5DB6">
        <w:trPr>
          <w:jc w:val="center"/>
        </w:trPr>
        <w:tc>
          <w:tcPr>
            <w:tcW w:w="7371" w:type="dxa"/>
            <w:shd w:val="clear" w:color="auto" w:fill="auto"/>
          </w:tcPr>
          <w:p w14:paraId="4D567172" w14:textId="77777777" w:rsidR="00C13315" w:rsidRPr="0016765C" w:rsidRDefault="00C93AA1" w:rsidP="00EE418E">
            <w:pPr>
              <w:pStyle w:val="AbstractCaption"/>
              <w:rPr>
                <w:rFonts w:ascii="Garamond" w:hAnsi="Garamond"/>
                <w:sz w:val="24"/>
                <w:szCs w:val="24"/>
              </w:rPr>
            </w:pPr>
            <w:r>
              <w:rPr>
                <w:rFonts w:ascii="Garamond" w:hAnsi="Garamond"/>
                <w:noProof/>
                <w:sz w:val="24"/>
                <w:szCs w:val="24"/>
              </w:rPr>
              <w:lastRenderedPageBreak/>
              <w:drawing>
                <wp:inline distT="0" distB="0" distL="0" distR="0" wp14:anchorId="77085ABB" wp14:editId="18E9B0DF">
                  <wp:extent cx="2987040" cy="1991360"/>
                  <wp:effectExtent l="0" t="0" r="381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987181" cy="1991454"/>
                          </a:xfrm>
                          <a:prstGeom prst="rect">
                            <a:avLst/>
                          </a:prstGeom>
                          <a:noFill/>
                        </pic:spPr>
                      </pic:pic>
                    </a:graphicData>
                  </a:graphic>
                </wp:inline>
              </w:drawing>
            </w:r>
          </w:p>
        </w:tc>
      </w:tr>
      <w:tr w:rsidR="00C13315" w:rsidRPr="00BE6EBA" w14:paraId="184CA924" w14:textId="77777777" w:rsidTr="002F5DB6">
        <w:trPr>
          <w:jc w:val="center"/>
        </w:trPr>
        <w:tc>
          <w:tcPr>
            <w:tcW w:w="7371" w:type="dxa"/>
            <w:shd w:val="clear" w:color="auto" w:fill="auto"/>
          </w:tcPr>
          <w:p w14:paraId="42963A70" w14:textId="4746CC44" w:rsidR="00C13315" w:rsidRPr="00BE6EBA" w:rsidRDefault="00C13315" w:rsidP="0004082D">
            <w:pPr>
              <w:pStyle w:val="AbstractCaption"/>
              <w:rPr>
                <w:rFonts w:ascii="Garamond" w:hAnsi="Garamond"/>
                <w:sz w:val="22"/>
                <w:szCs w:val="22"/>
                <w:lang w:val="en-CA"/>
              </w:rPr>
            </w:pPr>
            <w:r w:rsidRPr="00BE6EBA">
              <w:rPr>
                <w:rFonts w:ascii="Garamond" w:hAnsi="Garamond"/>
                <w:sz w:val="22"/>
                <w:szCs w:val="22"/>
                <w:lang w:val="en-CA"/>
              </w:rPr>
              <w:t>Fig</w:t>
            </w:r>
            <w:r w:rsidR="0004082D" w:rsidRPr="00BE6EBA">
              <w:rPr>
                <w:rFonts w:ascii="Garamond" w:hAnsi="Garamond"/>
                <w:sz w:val="22"/>
                <w:szCs w:val="22"/>
                <w:lang w:val="en-CA"/>
              </w:rPr>
              <w:t>ur</w:t>
            </w:r>
            <w:r w:rsidR="009A4CA7">
              <w:rPr>
                <w:rFonts w:ascii="Garamond" w:hAnsi="Garamond"/>
                <w:sz w:val="22"/>
                <w:szCs w:val="22"/>
                <w:lang w:val="en-CA"/>
              </w:rPr>
              <w:t>e</w:t>
            </w:r>
            <w:r w:rsidR="00BE6EBA">
              <w:rPr>
                <w:rFonts w:ascii="Garamond" w:hAnsi="Garamond"/>
                <w:sz w:val="22"/>
                <w:szCs w:val="22"/>
                <w:lang w:val="en-CA"/>
              </w:rPr>
              <w:t xml:space="preserve"> 1. CO2RR from bicarbonate on electrodeposited silver cathode.</w:t>
            </w:r>
          </w:p>
        </w:tc>
      </w:tr>
    </w:tbl>
    <w:p w14:paraId="2EFC8035" w14:textId="77777777" w:rsidR="001861B6" w:rsidRPr="00BE6EBA" w:rsidRDefault="001861B6" w:rsidP="00530879">
      <w:pPr>
        <w:jc w:val="both"/>
        <w:rPr>
          <w:rFonts w:ascii="Garamond" w:hAnsi="Garamond"/>
          <w:lang w:val="en-CA"/>
        </w:rPr>
      </w:pPr>
    </w:p>
    <w:p w14:paraId="27CF41F4" w14:textId="00F53E05" w:rsidR="0016765C" w:rsidRPr="00BE6EBA" w:rsidRDefault="00D22016" w:rsidP="0016765C">
      <w:pPr>
        <w:jc w:val="both"/>
        <w:rPr>
          <w:rFonts w:ascii="Garamond" w:hAnsi="Garamond"/>
          <w:b/>
          <w:szCs w:val="22"/>
          <w:lang w:val="en-CA"/>
        </w:rPr>
      </w:pPr>
      <w:r w:rsidRPr="00BE6EBA">
        <w:rPr>
          <w:rFonts w:ascii="Garamond" w:hAnsi="Garamond"/>
          <w:b/>
          <w:szCs w:val="22"/>
          <w:lang w:val="en-CA"/>
        </w:rPr>
        <w:t>References</w:t>
      </w:r>
      <w:r w:rsidR="0016765C" w:rsidRPr="00BE6EBA">
        <w:rPr>
          <w:rFonts w:ascii="Garamond" w:hAnsi="Garamond"/>
          <w:b/>
          <w:szCs w:val="22"/>
          <w:lang w:val="en-CA"/>
        </w:rPr>
        <w:t xml:space="preserve"> </w:t>
      </w:r>
    </w:p>
    <w:p w14:paraId="04E21B43" w14:textId="77777777" w:rsidR="009A4CA7" w:rsidRPr="009A4CA7" w:rsidRDefault="009A4CA7" w:rsidP="009A4CA7">
      <w:pPr>
        <w:pStyle w:val="Encabezado"/>
        <w:tabs>
          <w:tab w:val="left" w:pos="709"/>
        </w:tabs>
        <w:ind w:left="708" w:hanging="708"/>
        <w:jc w:val="both"/>
        <w:rPr>
          <w:rFonts w:ascii="Garamond" w:hAnsi="Garamond"/>
        </w:rPr>
      </w:pPr>
      <w:r w:rsidRPr="009A4CA7">
        <w:rPr>
          <w:rFonts w:ascii="Garamond" w:hAnsi="Garamond"/>
        </w:rPr>
        <w:t>[1]</w:t>
      </w:r>
      <w:r w:rsidRPr="009A4CA7">
        <w:rPr>
          <w:rFonts w:ascii="Garamond" w:hAnsi="Garamond"/>
        </w:rPr>
        <w:tab/>
        <w:t xml:space="preserve">T. Li, E. W. Lees, M. Goldman, D. A. Salvatore, D. M. Weekes, and C. P. </w:t>
      </w:r>
      <w:proofErr w:type="spellStart"/>
      <w:r w:rsidRPr="009A4CA7">
        <w:rPr>
          <w:rFonts w:ascii="Garamond" w:hAnsi="Garamond"/>
        </w:rPr>
        <w:t>Berlinguette</w:t>
      </w:r>
      <w:proofErr w:type="spellEnd"/>
      <w:r w:rsidRPr="009A4CA7">
        <w:rPr>
          <w:rFonts w:ascii="Garamond" w:hAnsi="Garamond"/>
        </w:rPr>
        <w:t>, “Electrolytic Conversion of Bicarbonate into CO in a Flow Cell,” Joule, vol. 3, no. 6, pp. 1487–1497, 2019.</w:t>
      </w:r>
    </w:p>
    <w:p w14:paraId="713C8BFD" w14:textId="77777777" w:rsidR="009A4CA7" w:rsidRPr="009A4CA7" w:rsidRDefault="009A4CA7" w:rsidP="009A4CA7">
      <w:pPr>
        <w:pStyle w:val="Encabezado"/>
        <w:tabs>
          <w:tab w:val="left" w:pos="709"/>
        </w:tabs>
        <w:ind w:left="708" w:hanging="708"/>
        <w:jc w:val="both"/>
        <w:rPr>
          <w:rFonts w:ascii="Garamond" w:hAnsi="Garamond"/>
        </w:rPr>
      </w:pPr>
      <w:r w:rsidRPr="009A4CA7">
        <w:rPr>
          <w:rFonts w:ascii="Garamond" w:hAnsi="Garamond"/>
        </w:rPr>
        <w:t>[2]</w:t>
      </w:r>
      <w:r w:rsidRPr="009A4CA7">
        <w:rPr>
          <w:rFonts w:ascii="Garamond" w:hAnsi="Garamond"/>
        </w:rPr>
        <w:tab/>
        <w:t>E. W. Lees et al., “Electrodes Designed for Converting Bicarbonate into CO,” ACS Energy Lett., vol. 5, no. 7, pp. 2165–2173, Jul. 2020.</w:t>
      </w:r>
    </w:p>
    <w:p w14:paraId="024E3A56" w14:textId="02171889" w:rsidR="00D62846" w:rsidRPr="0016765C" w:rsidRDefault="009A4CA7" w:rsidP="009A4CA7">
      <w:pPr>
        <w:pStyle w:val="Encabezado"/>
        <w:tabs>
          <w:tab w:val="left" w:pos="709"/>
        </w:tabs>
        <w:ind w:left="708" w:hanging="708"/>
        <w:jc w:val="both"/>
        <w:rPr>
          <w:rFonts w:ascii="Garamond" w:hAnsi="Garamond"/>
        </w:rPr>
      </w:pPr>
      <w:r w:rsidRPr="009A4CA7">
        <w:rPr>
          <w:rFonts w:ascii="Garamond" w:hAnsi="Garamond"/>
        </w:rPr>
        <w:t>[3]</w:t>
      </w:r>
      <w:r w:rsidRPr="009A4CA7">
        <w:rPr>
          <w:rFonts w:ascii="Garamond" w:hAnsi="Garamond"/>
        </w:rPr>
        <w:tab/>
        <w:t xml:space="preserve">F. Quan, M. </w:t>
      </w:r>
      <w:proofErr w:type="spellStart"/>
      <w:r w:rsidRPr="009A4CA7">
        <w:rPr>
          <w:rFonts w:ascii="Garamond" w:hAnsi="Garamond"/>
        </w:rPr>
        <w:t>Xiong</w:t>
      </w:r>
      <w:proofErr w:type="spellEnd"/>
      <w:r w:rsidRPr="009A4CA7">
        <w:rPr>
          <w:rFonts w:ascii="Garamond" w:hAnsi="Garamond"/>
        </w:rPr>
        <w:t>, F. Jia, and L. Zhang, “Efficient electroreduction of CO2 on bulk silver electrode in aqueous solution via the inhibition of hydrogen evolution,” Appl. Surf. Sci., vol. 399, pp. 48–54, 2017.</w:t>
      </w:r>
    </w:p>
    <w:sectPr w:rsidR="00D62846" w:rsidRPr="0016765C" w:rsidSect="00167994">
      <w:headerReference w:type="default" r:id="rId9"/>
      <w:footerReference w:type="default" r:id="rId10"/>
      <w:pgSz w:w="11907" w:h="16840" w:code="9"/>
      <w:pgMar w:top="1701" w:right="1701"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925CF" w14:textId="77777777" w:rsidR="00D3568E" w:rsidRDefault="00D3568E">
      <w:r>
        <w:separator/>
      </w:r>
    </w:p>
  </w:endnote>
  <w:endnote w:type="continuationSeparator" w:id="0">
    <w:p w14:paraId="641E8BC7" w14:textId="77777777" w:rsidR="00D3568E" w:rsidRDefault="00D3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941AC" w14:textId="77777777" w:rsidR="00761A6B" w:rsidRPr="00761A6B" w:rsidRDefault="00761A6B" w:rsidP="00AA4C4D">
    <w:pPr>
      <w:pStyle w:val="Piedepgina"/>
      <w:pBdr>
        <w:top w:val="single" w:sz="4" w:space="1" w:color="auto"/>
      </w:pBdr>
      <w:rPr>
        <w:rFonts w:asciiTheme="majorHAnsi" w:hAnsiTheme="majorHAnsi"/>
        <w:lang w:val="es-ES"/>
      </w:rPr>
    </w:pPr>
    <w:r w:rsidRPr="00761A6B">
      <w:rPr>
        <w:rFonts w:asciiTheme="majorHAnsi" w:hAnsiTheme="majorHAnsi"/>
        <w:lang w:val="es-ES"/>
      </w:rPr>
      <w:ptab w:relativeTo="margin" w:alignment="center" w:leader="none"/>
    </w:r>
    <w:r w:rsidRPr="00761A6B">
      <w:rPr>
        <w:rFonts w:asciiTheme="majorHAnsi" w:hAnsiTheme="majorHAnsi"/>
        <w:lang w:val="es-E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5B4D9" w14:textId="77777777" w:rsidR="00D3568E" w:rsidRDefault="00D3568E">
      <w:r>
        <w:separator/>
      </w:r>
    </w:p>
  </w:footnote>
  <w:footnote w:type="continuationSeparator" w:id="0">
    <w:p w14:paraId="48558124" w14:textId="77777777" w:rsidR="00D3568E" w:rsidRDefault="00D35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5"/>
      <w:gridCol w:w="5730"/>
    </w:tblGrid>
    <w:tr w:rsidR="00306720" w:rsidRPr="00807D79" w14:paraId="0448B7B2" w14:textId="77777777" w:rsidTr="00EE418E">
      <w:tc>
        <w:tcPr>
          <w:tcW w:w="2745" w:type="dxa"/>
        </w:tcPr>
        <w:p w14:paraId="14FE37A5" w14:textId="77777777" w:rsidR="00EE418E" w:rsidRPr="00B839B1" w:rsidRDefault="00306720" w:rsidP="000B3EE0">
          <w:pPr>
            <w:pStyle w:val="Encabezado"/>
            <w:tabs>
              <w:tab w:val="clear" w:pos="4252"/>
              <w:tab w:val="left" w:pos="4253"/>
              <w:tab w:val="center" w:pos="4395"/>
            </w:tabs>
            <w:spacing w:line="276" w:lineRule="auto"/>
            <w:ind w:left="-536"/>
            <w:jc w:val="center"/>
            <w:rPr>
              <w:rFonts w:asciiTheme="majorHAnsi" w:hAnsiTheme="majorHAnsi"/>
              <w:sz w:val="24"/>
              <w:lang w:val="pt-PT"/>
            </w:rPr>
          </w:pPr>
          <w:r>
            <w:rPr>
              <w:rFonts w:asciiTheme="majorHAnsi" w:hAnsiTheme="majorHAnsi"/>
              <w:noProof/>
              <w:sz w:val="24"/>
              <w:lang w:val="pt-PT"/>
            </w:rPr>
            <w:drawing>
              <wp:inline distT="0" distB="0" distL="0" distR="0" wp14:anchorId="60F4A526" wp14:editId="73713211">
                <wp:extent cx="1705424" cy="9588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7367" cy="988054"/>
                        </a:xfrm>
                        <a:prstGeom prst="rect">
                          <a:avLst/>
                        </a:prstGeom>
                        <a:noFill/>
                      </pic:spPr>
                    </pic:pic>
                  </a:graphicData>
                </a:graphic>
              </wp:inline>
            </w:drawing>
          </w:r>
        </w:p>
      </w:tc>
      <w:tc>
        <w:tcPr>
          <w:tcW w:w="5730" w:type="dxa"/>
          <w:vAlign w:val="center"/>
        </w:tcPr>
        <w:p w14:paraId="77A961BF" w14:textId="77777777" w:rsidR="00807D79" w:rsidRPr="00807D79" w:rsidRDefault="00807D79" w:rsidP="00294D00">
          <w:pPr>
            <w:pStyle w:val="Encabezado"/>
            <w:tabs>
              <w:tab w:val="clear" w:pos="4252"/>
              <w:tab w:val="left" w:pos="4253"/>
              <w:tab w:val="center" w:pos="4395"/>
            </w:tabs>
            <w:ind w:left="-167"/>
            <w:jc w:val="center"/>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pP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XLII Reunión del Grupo </w:t>
          </w:r>
          <w:r w:rsidR="00294D00">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Especializado </w:t>
          </w: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de Electroquímica de la RSEQ (42 GERSEQ 2022)</w:t>
          </w:r>
        </w:p>
        <w:p w14:paraId="3817CE0E" w14:textId="77777777" w:rsidR="00EE418E" w:rsidRPr="00807D79" w:rsidRDefault="00807D79" w:rsidP="000B3EE0">
          <w:pPr>
            <w:pStyle w:val="Encabezado"/>
            <w:tabs>
              <w:tab w:val="clear" w:pos="4252"/>
              <w:tab w:val="left" w:pos="4253"/>
              <w:tab w:val="center" w:pos="4395"/>
            </w:tabs>
            <w:jc w:val="center"/>
            <w:rPr>
              <w:rFonts w:ascii="Garamond" w:hAnsi="Garamond"/>
              <w:b/>
              <w:sz w:val="32"/>
              <w:szCs w:val="32"/>
              <w:lang w:val="pt-PT"/>
            </w:rPr>
          </w:pPr>
          <w:r>
            <w:rPr>
              <w:rFonts w:ascii="Garamond" w:hAnsi="Garamond"/>
              <w:b/>
              <w:sz w:val="28"/>
              <w:szCs w:val="28"/>
              <w:lang w:val="pt-PT"/>
            </w:rPr>
            <w:t>Santander, 6-8</w:t>
          </w:r>
          <w:r w:rsidR="001861B6" w:rsidRPr="00807D79">
            <w:rPr>
              <w:rFonts w:ascii="Garamond" w:hAnsi="Garamond"/>
              <w:b/>
              <w:sz w:val="28"/>
              <w:szCs w:val="28"/>
              <w:lang w:val="pt-PT"/>
            </w:rPr>
            <w:t xml:space="preserve"> Julio</w:t>
          </w:r>
          <w:r w:rsidR="00EE418E" w:rsidRPr="00807D79">
            <w:rPr>
              <w:rFonts w:ascii="Garamond" w:hAnsi="Garamond"/>
              <w:b/>
              <w:sz w:val="28"/>
              <w:szCs w:val="28"/>
              <w:lang w:val="pt-PT"/>
            </w:rPr>
            <w:t xml:space="preserve"> 20</w:t>
          </w:r>
          <w:r w:rsidR="00C82B92">
            <w:rPr>
              <w:rFonts w:ascii="Garamond" w:hAnsi="Garamond"/>
              <w:b/>
              <w:sz w:val="28"/>
              <w:szCs w:val="28"/>
              <w:lang w:val="pt-PT"/>
            </w:rPr>
            <w:t>22</w:t>
          </w:r>
        </w:p>
      </w:tc>
    </w:tr>
  </w:tbl>
  <w:p w14:paraId="74BBDB83" w14:textId="77777777" w:rsidR="005B6B45" w:rsidRPr="00B839B1" w:rsidRDefault="005B6B45" w:rsidP="002D1518">
    <w:pPr>
      <w:pStyle w:val="Encabezado"/>
      <w:pBdr>
        <w:top w:val="single" w:sz="4" w:space="1" w:color="auto"/>
      </w:pBdr>
      <w:spacing w:line="480" w:lineRule="auto"/>
      <w:rPr>
        <w:rFonts w:asciiTheme="majorHAnsi" w:hAnsiTheme="majorHAnsi"/>
        <w:sz w:val="16"/>
        <w:szCs w:val="16"/>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Q1N7U0MLU0NjM2NjVQ0lEKTi0uzszPAykwrAUAL4m9bywAAAA="/>
  </w:docVars>
  <w:rsids>
    <w:rsidRoot w:val="00DC7A4E"/>
    <w:rsid w:val="00024331"/>
    <w:rsid w:val="0004082D"/>
    <w:rsid w:val="0007035D"/>
    <w:rsid w:val="00070E59"/>
    <w:rsid w:val="000868A3"/>
    <w:rsid w:val="0009721C"/>
    <w:rsid w:val="000B3EE0"/>
    <w:rsid w:val="000B71E9"/>
    <w:rsid w:val="000C07A7"/>
    <w:rsid w:val="000D67D5"/>
    <w:rsid w:val="00123F69"/>
    <w:rsid w:val="00143626"/>
    <w:rsid w:val="001461F9"/>
    <w:rsid w:val="0016765C"/>
    <w:rsid w:val="00167994"/>
    <w:rsid w:val="001861B6"/>
    <w:rsid w:val="00196CAF"/>
    <w:rsid w:val="001D7E88"/>
    <w:rsid w:val="00203491"/>
    <w:rsid w:val="00203614"/>
    <w:rsid w:val="00240130"/>
    <w:rsid w:val="00247CD2"/>
    <w:rsid w:val="00286756"/>
    <w:rsid w:val="0028791E"/>
    <w:rsid w:val="00294D00"/>
    <w:rsid w:val="002D1518"/>
    <w:rsid w:val="002D3067"/>
    <w:rsid w:val="002E2D9B"/>
    <w:rsid w:val="00306720"/>
    <w:rsid w:val="00376AAF"/>
    <w:rsid w:val="003923DD"/>
    <w:rsid w:val="003A72D5"/>
    <w:rsid w:val="003E49EB"/>
    <w:rsid w:val="004046B1"/>
    <w:rsid w:val="00446021"/>
    <w:rsid w:val="0047146F"/>
    <w:rsid w:val="00477541"/>
    <w:rsid w:val="004B4453"/>
    <w:rsid w:val="00530879"/>
    <w:rsid w:val="00551284"/>
    <w:rsid w:val="005704FF"/>
    <w:rsid w:val="005859DF"/>
    <w:rsid w:val="005B6B45"/>
    <w:rsid w:val="005C239F"/>
    <w:rsid w:val="005C34DC"/>
    <w:rsid w:val="005D65E5"/>
    <w:rsid w:val="00642C2C"/>
    <w:rsid w:val="0067036C"/>
    <w:rsid w:val="0068256B"/>
    <w:rsid w:val="00686736"/>
    <w:rsid w:val="006A3935"/>
    <w:rsid w:val="006C1127"/>
    <w:rsid w:val="006F69F9"/>
    <w:rsid w:val="0072427B"/>
    <w:rsid w:val="00733CC7"/>
    <w:rsid w:val="007379A4"/>
    <w:rsid w:val="00761A6B"/>
    <w:rsid w:val="00762E10"/>
    <w:rsid w:val="00766762"/>
    <w:rsid w:val="00772B69"/>
    <w:rsid w:val="00786F55"/>
    <w:rsid w:val="007A4E96"/>
    <w:rsid w:val="007C3186"/>
    <w:rsid w:val="007D2205"/>
    <w:rsid w:val="00807D79"/>
    <w:rsid w:val="00825387"/>
    <w:rsid w:val="00830FE6"/>
    <w:rsid w:val="00831359"/>
    <w:rsid w:val="00863D84"/>
    <w:rsid w:val="00881797"/>
    <w:rsid w:val="008A734C"/>
    <w:rsid w:val="008D2399"/>
    <w:rsid w:val="008E5735"/>
    <w:rsid w:val="009227F8"/>
    <w:rsid w:val="00946970"/>
    <w:rsid w:val="009918CD"/>
    <w:rsid w:val="009A4CA7"/>
    <w:rsid w:val="009C6B71"/>
    <w:rsid w:val="009D613A"/>
    <w:rsid w:val="009F0344"/>
    <w:rsid w:val="00A00135"/>
    <w:rsid w:val="00A25F24"/>
    <w:rsid w:val="00A30A49"/>
    <w:rsid w:val="00A35E7A"/>
    <w:rsid w:val="00A4623C"/>
    <w:rsid w:val="00A67F86"/>
    <w:rsid w:val="00A859F9"/>
    <w:rsid w:val="00A924E5"/>
    <w:rsid w:val="00AA4C4D"/>
    <w:rsid w:val="00AB2A3A"/>
    <w:rsid w:val="00AB661D"/>
    <w:rsid w:val="00AC0B02"/>
    <w:rsid w:val="00AC26BC"/>
    <w:rsid w:val="00AC597E"/>
    <w:rsid w:val="00AF29EC"/>
    <w:rsid w:val="00B114B7"/>
    <w:rsid w:val="00B3201F"/>
    <w:rsid w:val="00B456EF"/>
    <w:rsid w:val="00B45BF0"/>
    <w:rsid w:val="00B608AE"/>
    <w:rsid w:val="00B62A68"/>
    <w:rsid w:val="00B839B1"/>
    <w:rsid w:val="00BA72B5"/>
    <w:rsid w:val="00BD1094"/>
    <w:rsid w:val="00BE6EBA"/>
    <w:rsid w:val="00C0179A"/>
    <w:rsid w:val="00C13315"/>
    <w:rsid w:val="00C32CE8"/>
    <w:rsid w:val="00C82977"/>
    <w:rsid w:val="00C82B92"/>
    <w:rsid w:val="00C93AA1"/>
    <w:rsid w:val="00CB2994"/>
    <w:rsid w:val="00CE31D8"/>
    <w:rsid w:val="00D05F05"/>
    <w:rsid w:val="00D07ACF"/>
    <w:rsid w:val="00D22016"/>
    <w:rsid w:val="00D26CC7"/>
    <w:rsid w:val="00D3568E"/>
    <w:rsid w:val="00D62846"/>
    <w:rsid w:val="00DA02DF"/>
    <w:rsid w:val="00DA1D86"/>
    <w:rsid w:val="00DC222F"/>
    <w:rsid w:val="00DC7A4E"/>
    <w:rsid w:val="00DD5854"/>
    <w:rsid w:val="00E01A28"/>
    <w:rsid w:val="00E41EFE"/>
    <w:rsid w:val="00E53EF2"/>
    <w:rsid w:val="00E6580B"/>
    <w:rsid w:val="00E707C4"/>
    <w:rsid w:val="00E9511D"/>
    <w:rsid w:val="00EC099B"/>
    <w:rsid w:val="00EC3AEE"/>
    <w:rsid w:val="00EE418E"/>
    <w:rsid w:val="00F14F62"/>
    <w:rsid w:val="00F51426"/>
    <w:rsid w:val="00F55D0F"/>
    <w:rsid w:val="00F90D3F"/>
    <w:rsid w:val="00F9269D"/>
    <w:rsid w:val="00FB3710"/>
    <w:rsid w:val="00FB6093"/>
    <w:rsid w:val="00FE47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81AFB3"/>
  <w15:docId w15:val="{EB82FD11-99E2-4DC6-BD2B-8A6341C5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l-ES" w:eastAsia="gl-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7994"/>
    <w:rPr>
      <w:lang w:val="en-US" w:eastAsia="en-US"/>
    </w:rPr>
  </w:style>
  <w:style w:type="paragraph" w:styleId="Ttulo1">
    <w:name w:val="heading 1"/>
    <w:basedOn w:val="Normal"/>
    <w:next w:val="Normal"/>
    <w:qFormat/>
    <w:rsid w:val="00167994"/>
    <w:pPr>
      <w:keepNext/>
      <w:jc w:val="both"/>
      <w:outlineLvl w:val="0"/>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67994"/>
    <w:pPr>
      <w:tabs>
        <w:tab w:val="center" w:pos="4252"/>
        <w:tab w:val="right" w:pos="8504"/>
      </w:tabs>
    </w:pPr>
  </w:style>
  <w:style w:type="paragraph" w:styleId="Piedepgina">
    <w:name w:val="footer"/>
    <w:basedOn w:val="Normal"/>
    <w:rsid w:val="00167994"/>
    <w:pPr>
      <w:tabs>
        <w:tab w:val="center" w:pos="4252"/>
        <w:tab w:val="right" w:pos="8504"/>
      </w:tabs>
    </w:pPr>
  </w:style>
  <w:style w:type="paragraph" w:styleId="Ttulo">
    <w:name w:val="Title"/>
    <w:basedOn w:val="Normal"/>
    <w:qFormat/>
    <w:rsid w:val="00167994"/>
    <w:pPr>
      <w:jc w:val="center"/>
    </w:pPr>
    <w:rPr>
      <w:b/>
      <w:bCs/>
      <w:sz w:val="28"/>
    </w:rPr>
  </w:style>
  <w:style w:type="character" w:styleId="Hipervnculo">
    <w:name w:val="Hyperlink"/>
    <w:basedOn w:val="Fuentedeprrafopredeter"/>
    <w:rsid w:val="00762E10"/>
    <w:rPr>
      <w:color w:val="0563C1" w:themeColor="hyperlink"/>
      <w:u w:val="single"/>
    </w:rPr>
  </w:style>
  <w:style w:type="table" w:styleId="Tablaconcuadrcula">
    <w:name w:val="Table Grid"/>
    <w:basedOn w:val="Tablanormal"/>
    <w:rsid w:val="00CB2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28791E"/>
    <w:rPr>
      <w:rFonts w:ascii="Tahoma" w:hAnsi="Tahoma" w:cs="Tahoma"/>
      <w:sz w:val="16"/>
      <w:szCs w:val="16"/>
    </w:rPr>
  </w:style>
  <w:style w:type="character" w:customStyle="1" w:styleId="TextodegloboCar">
    <w:name w:val="Texto de globo Car"/>
    <w:basedOn w:val="Fuentedeprrafopredeter"/>
    <w:link w:val="Textodeglobo"/>
    <w:rsid w:val="0028791E"/>
    <w:rPr>
      <w:rFonts w:ascii="Tahoma" w:hAnsi="Tahoma" w:cs="Tahoma"/>
      <w:sz w:val="16"/>
      <w:szCs w:val="16"/>
      <w:lang w:val="en-US" w:eastAsia="en-US"/>
    </w:rPr>
  </w:style>
  <w:style w:type="paragraph" w:styleId="NormalWeb">
    <w:name w:val="Normal (Web)"/>
    <w:basedOn w:val="Normal"/>
    <w:uiPriority w:val="99"/>
    <w:unhideWhenUsed/>
    <w:rsid w:val="000B3EE0"/>
    <w:pPr>
      <w:spacing w:before="100" w:beforeAutospacing="1" w:after="100" w:afterAutospacing="1"/>
    </w:pPr>
    <w:rPr>
      <w:sz w:val="24"/>
      <w:szCs w:val="24"/>
      <w:lang w:val="es-ES" w:eastAsia="es-ES"/>
    </w:rPr>
  </w:style>
  <w:style w:type="paragraph" w:customStyle="1" w:styleId="AbstractCaption">
    <w:name w:val="Abstract_Caption"/>
    <w:basedOn w:val="Normal"/>
    <w:link w:val="AbstractCaptionCar"/>
    <w:qFormat/>
    <w:rsid w:val="00C13315"/>
    <w:pPr>
      <w:spacing w:before="40" w:after="120"/>
      <w:jc w:val="center"/>
    </w:pPr>
    <w:rPr>
      <w:rFonts w:ascii="Arial" w:hAnsi="Arial" w:cs="Arial"/>
      <w:sz w:val="18"/>
      <w:lang w:val="en-GB"/>
    </w:rPr>
  </w:style>
  <w:style w:type="character" w:customStyle="1" w:styleId="AbstractCaptionCar">
    <w:name w:val="Abstract_Caption Car"/>
    <w:link w:val="AbstractCaption"/>
    <w:rsid w:val="00C13315"/>
    <w:rPr>
      <w:rFonts w:ascii="Arial" w:hAnsi="Arial" w:cs="Arial"/>
      <w:sz w:val="18"/>
      <w:lang w:val="en-GB" w:eastAsia="en-US"/>
    </w:rPr>
  </w:style>
  <w:style w:type="character" w:styleId="Mencinsinresolver">
    <w:name w:val="Unresolved Mention"/>
    <w:basedOn w:val="Fuentedeprrafopredeter"/>
    <w:uiPriority w:val="99"/>
    <w:semiHidden/>
    <w:unhideWhenUsed/>
    <w:rsid w:val="00DA1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47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ettings" Target="settings.xml"/><Relationship Id="rId7" Type="http://schemas.openxmlformats.org/officeDocument/2006/relationships/hyperlink" Target="mailto:*carlose.larrea@estudiante.uam.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44FCA-157A-4AFA-9A3A-F1F63443C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300</Words>
  <Characters>8896</Characters>
  <Application>Microsoft Office Word</Application>
  <DocSecurity>4</DocSecurity>
  <Lines>74</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Ramón Nóvoa</dc:creator>
  <cp:keywords/>
  <dc:description/>
  <cp:lastModifiedBy>Enrique Herrero</cp:lastModifiedBy>
  <cp:revision>2</cp:revision>
  <cp:lastPrinted>2016-02-23T11:55:00Z</cp:lastPrinted>
  <dcterms:created xsi:type="dcterms:W3CDTF">2022-06-13T06:41:00Z</dcterms:created>
  <dcterms:modified xsi:type="dcterms:W3CDTF">2022-06-13T06:41:00Z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cd878ec9-fbd9-3944-8e99-9d40ec102fa2</vt:lpwstr>
  </property>
  <property fmtid="{D5CDD505-2E9C-101B-9397-08002B2CF9AE}" pid="4" name="Mendeley Citation Style_1">
    <vt:lpwstr>http://www.zotero.org/styles/ieee</vt:lpwstr>
  </property>
  <property fmtid="{D5CDD505-2E9C-101B-9397-08002B2CF9AE}" pid="5" name="Mendeley Recent Style Id 0_1">
    <vt:lpwstr>http://www.zotero.org/styles/acs-applied-energy-materials</vt:lpwstr>
  </property>
  <property fmtid="{D5CDD505-2E9C-101B-9397-08002B2CF9AE}" pid="6" name="Mendeley Recent Style Name 0_1">
    <vt:lpwstr>ACS Applied Energy Materials</vt:lpwstr>
  </property>
  <property fmtid="{D5CDD505-2E9C-101B-9397-08002B2CF9AE}" pid="7" name="Mendeley Recent Style Id 1_1">
    <vt:lpwstr>http://www.zotero.org/styles/acs-energy-letters</vt:lpwstr>
  </property>
  <property fmtid="{D5CDD505-2E9C-101B-9397-08002B2CF9AE}" pid="8" name="Mendeley Recent Style Name 1_1">
    <vt:lpwstr>ACS Energy Letters</vt:lpwstr>
  </property>
  <property fmtid="{D5CDD505-2E9C-101B-9397-08002B2CF9AE}" pid="9" name="Mendeley Recent Style Id 2_1">
    <vt:lpwstr>http://www.zotero.org/styles/american-political-science-association</vt:lpwstr>
  </property>
  <property fmtid="{D5CDD505-2E9C-101B-9397-08002B2CF9AE}" pid="10" name="Mendeley Recent Style Name 2_1">
    <vt:lpwstr>American Political Science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http://www.zotero.org/styles/journal-of-co2-utilization</vt:lpwstr>
  </property>
  <property fmtid="{D5CDD505-2E9C-101B-9397-08002B2CF9AE}" pid="18" name="Mendeley Recent Style Name 6_1">
    <vt:lpwstr>Journal of CO2 Utilization</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