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5B7705" w14:textId="77777777" w:rsidR="00EC099B" w:rsidRPr="00C82B92" w:rsidRDefault="00E9511D" w:rsidP="00530879">
      <w:pPr>
        <w:pStyle w:val="Ttulo"/>
        <w:spacing w:before="120"/>
        <w:rPr>
          <w:rFonts w:ascii="Garamond" w:hAnsi="Garamond" w:cs="Arial"/>
          <w:lang w:val="es-ES"/>
        </w:rPr>
      </w:pPr>
      <w:r w:rsidRPr="00C82B92">
        <w:rPr>
          <w:rFonts w:ascii="Garamond" w:hAnsi="Garamond" w:cs="Arial"/>
          <w:lang w:val="es-ES"/>
        </w:rPr>
        <w:t>Título de la comunicación</w:t>
      </w:r>
      <w:r w:rsidR="0047146F" w:rsidRPr="00C82B92">
        <w:rPr>
          <w:rFonts w:ascii="Garamond" w:hAnsi="Garamond" w:cs="Arial"/>
          <w:lang w:val="es-ES"/>
        </w:rPr>
        <w:t xml:space="preserve">. </w:t>
      </w:r>
      <w:r w:rsidR="00C82B92">
        <w:rPr>
          <w:rFonts w:ascii="Garamond" w:hAnsi="Garamond" w:cs="Arial"/>
          <w:lang w:val="es-ES"/>
        </w:rPr>
        <w:t>Garamond</w:t>
      </w:r>
      <w:r w:rsidR="0047146F" w:rsidRPr="00C82B92">
        <w:rPr>
          <w:rFonts w:ascii="Garamond" w:hAnsi="Garamond" w:cs="Arial"/>
          <w:lang w:val="es-ES"/>
        </w:rPr>
        <w:t xml:space="preserve">, tamaño 14, negrita </w:t>
      </w:r>
    </w:p>
    <w:p w14:paraId="6DF1CCC9" w14:textId="77777777" w:rsidR="00EC099B" w:rsidRPr="005B6B45" w:rsidRDefault="00EC099B" w:rsidP="00530879">
      <w:pPr>
        <w:jc w:val="both"/>
        <w:rPr>
          <w:rFonts w:asciiTheme="minorHAnsi" w:hAnsiTheme="minorHAnsi"/>
          <w:sz w:val="24"/>
          <w:lang w:val="es-ES"/>
        </w:rPr>
      </w:pPr>
    </w:p>
    <w:p w14:paraId="692B1E55" w14:textId="3CB3EFC2" w:rsidR="00EC099B" w:rsidRDefault="000A2093" w:rsidP="00830FE6">
      <w:pPr>
        <w:jc w:val="center"/>
        <w:rPr>
          <w:rFonts w:ascii="Garamond" w:hAnsi="Garamond" w:cs="Arial"/>
          <w:sz w:val="24"/>
          <w:u w:val="single"/>
          <w:lang w:val="es-ES"/>
        </w:rPr>
      </w:pPr>
      <w:r>
        <w:rPr>
          <w:rFonts w:ascii="Garamond" w:hAnsi="Garamond" w:cs="Arial"/>
          <w:sz w:val="24"/>
          <w:u w:val="single"/>
          <w:lang w:val="es-ES"/>
        </w:rPr>
        <w:t>Xingqi Chang</w:t>
      </w:r>
    </w:p>
    <w:p w14:paraId="0897BF13" w14:textId="2966B635" w:rsidR="000A2093" w:rsidRDefault="002201C1" w:rsidP="002201C1">
      <w:pPr>
        <w:jc w:val="center"/>
        <w:rPr>
          <w:rFonts w:ascii="Garamond" w:hAnsi="Garamond"/>
          <w:iCs/>
          <w:sz w:val="22"/>
          <w:szCs w:val="22"/>
          <w:lang w:val="es-ES"/>
        </w:rPr>
      </w:pPr>
      <w:r w:rsidRPr="00426899">
        <w:rPr>
          <w:rFonts w:ascii="Garamond" w:hAnsi="Garamond"/>
          <w:iCs/>
          <w:sz w:val="22"/>
          <w:szCs w:val="22"/>
          <w:vertAlign w:val="superscript"/>
          <w:lang w:val="es-ES"/>
        </w:rPr>
        <w:t>1</w:t>
      </w:r>
      <w:r>
        <w:rPr>
          <w:rFonts w:ascii="Garamond" w:hAnsi="Garamond"/>
          <w:iCs/>
          <w:sz w:val="22"/>
          <w:szCs w:val="22"/>
          <w:lang w:val="es-ES"/>
        </w:rPr>
        <w:t xml:space="preserve">Universitat de Barcelona / </w:t>
      </w:r>
      <w:r w:rsidRPr="00426899">
        <w:rPr>
          <w:rFonts w:ascii="Garamond" w:hAnsi="Garamond"/>
          <w:iCs/>
          <w:sz w:val="22"/>
          <w:szCs w:val="22"/>
          <w:vertAlign w:val="superscript"/>
          <w:lang w:val="es-ES"/>
        </w:rPr>
        <w:t>2</w:t>
      </w:r>
      <w:r>
        <w:rPr>
          <w:rFonts w:ascii="Garamond" w:hAnsi="Garamond"/>
          <w:iCs/>
          <w:sz w:val="22"/>
          <w:szCs w:val="22"/>
          <w:lang w:val="es-ES"/>
        </w:rPr>
        <w:t>IREC</w:t>
      </w:r>
    </w:p>
    <w:p w14:paraId="0EA377E0" w14:textId="426DC7D3" w:rsidR="00EC099B" w:rsidRPr="00C82B92" w:rsidRDefault="000A2093" w:rsidP="00530879">
      <w:pPr>
        <w:jc w:val="center"/>
        <w:rPr>
          <w:rFonts w:ascii="Arial Narrow" w:hAnsi="Arial Narrow"/>
          <w:iCs/>
          <w:sz w:val="22"/>
          <w:szCs w:val="22"/>
          <w:lang w:val="es-ES"/>
        </w:rPr>
      </w:pPr>
      <w:r>
        <w:rPr>
          <w:rFonts w:ascii="Garamond" w:hAnsi="Garamond"/>
          <w:iCs/>
          <w:sz w:val="22"/>
          <w:szCs w:val="22"/>
          <w:lang w:val="es-ES"/>
        </w:rPr>
        <w:t>xchan@irec.cat</w:t>
      </w:r>
    </w:p>
    <w:p w14:paraId="303A7D74" w14:textId="5C76A390" w:rsidR="005B6B45" w:rsidRDefault="003A72D5" w:rsidP="00530879">
      <w:pPr>
        <w:jc w:val="both"/>
        <w:rPr>
          <w:rFonts w:asciiTheme="minorHAnsi" w:hAnsiTheme="minorHAnsi"/>
          <w:sz w:val="24"/>
          <w:szCs w:val="24"/>
          <w:lang w:val="es-ES"/>
        </w:rPr>
      </w:pPr>
      <w:r>
        <w:rPr>
          <w:rFonts w:ascii="Garamond" w:hAnsi="Garamond"/>
          <w:b/>
          <w:sz w:val="24"/>
          <w:szCs w:val="22"/>
          <w:lang w:val="es-ES"/>
        </w:rPr>
        <w:t>Mentor</w:t>
      </w:r>
      <w:r w:rsidR="00830FE6" w:rsidRPr="00830FE6">
        <w:rPr>
          <w:rFonts w:ascii="Garamond" w:hAnsi="Garamond"/>
          <w:b/>
          <w:sz w:val="24"/>
          <w:szCs w:val="22"/>
          <w:lang w:val="es-ES"/>
        </w:rPr>
        <w:t>:</w:t>
      </w:r>
      <w:r w:rsidR="00642C2C">
        <w:rPr>
          <w:rFonts w:ascii="Garamond" w:hAnsi="Garamond"/>
          <w:b/>
          <w:sz w:val="24"/>
          <w:szCs w:val="22"/>
          <w:lang w:val="es-ES"/>
        </w:rPr>
        <w:t xml:space="preserve"> </w:t>
      </w:r>
      <w:r w:rsidR="0039197E" w:rsidRPr="0039197E">
        <w:rPr>
          <w:rFonts w:ascii="Garamond" w:hAnsi="Garamond"/>
          <w:bCs/>
          <w:sz w:val="24"/>
          <w:szCs w:val="22"/>
          <w:lang w:val="es-ES"/>
        </w:rPr>
        <w:t>Elvira Gómez.</w:t>
      </w:r>
      <w:r w:rsidR="00182126" w:rsidRPr="0039197E">
        <w:rPr>
          <w:rFonts w:ascii="Garamond" w:hAnsi="Garamond"/>
          <w:bCs/>
          <w:sz w:val="24"/>
          <w:szCs w:val="22"/>
          <w:lang w:val="es-ES"/>
        </w:rPr>
        <w:t xml:space="preserve"> </w:t>
      </w:r>
      <w:proofErr w:type="spellStart"/>
      <w:r w:rsidR="0039197E" w:rsidRPr="0039197E">
        <w:rPr>
          <w:rFonts w:ascii="Garamond" w:hAnsi="Garamond"/>
          <w:bCs/>
          <w:sz w:val="24"/>
          <w:szCs w:val="22"/>
          <w:lang w:val="es-ES"/>
        </w:rPr>
        <w:t>Universitat</w:t>
      </w:r>
      <w:proofErr w:type="spellEnd"/>
      <w:r w:rsidR="0039197E" w:rsidRPr="0039197E">
        <w:rPr>
          <w:rFonts w:ascii="Garamond" w:hAnsi="Garamond"/>
          <w:bCs/>
          <w:sz w:val="24"/>
          <w:szCs w:val="22"/>
          <w:lang w:val="es-ES"/>
        </w:rPr>
        <w:t xml:space="preserve"> de Barcelona, Martí i Franquès 1, Barcelona, Spain.    </w:t>
      </w:r>
    </w:p>
    <w:p w14:paraId="56238214" w14:textId="252A6E5F" w:rsidR="00830FE6" w:rsidRDefault="00830FE6" w:rsidP="00530879">
      <w:pPr>
        <w:jc w:val="both"/>
        <w:rPr>
          <w:rFonts w:asciiTheme="minorHAnsi" w:hAnsiTheme="minorHAnsi"/>
          <w:sz w:val="24"/>
          <w:szCs w:val="24"/>
          <w:lang w:val="es-ES"/>
        </w:rPr>
      </w:pPr>
      <w:r w:rsidRPr="00830FE6">
        <w:rPr>
          <w:rFonts w:ascii="Garamond" w:hAnsi="Garamond"/>
          <w:b/>
          <w:sz w:val="24"/>
          <w:szCs w:val="22"/>
          <w:lang w:val="es-ES"/>
        </w:rPr>
        <w:t>Director:</w:t>
      </w:r>
      <w:r w:rsidR="00642C2C" w:rsidRPr="00642C2C">
        <w:rPr>
          <w:rFonts w:ascii="Garamond" w:hAnsi="Garamond"/>
          <w:bCs/>
          <w:sz w:val="24"/>
          <w:szCs w:val="22"/>
          <w:lang w:val="es-ES"/>
        </w:rPr>
        <w:t xml:space="preserve"> </w:t>
      </w:r>
      <w:r w:rsidR="0039197E" w:rsidRPr="0039197E">
        <w:rPr>
          <w:rFonts w:ascii="Garamond" w:hAnsi="Garamond"/>
          <w:sz w:val="24"/>
          <w:szCs w:val="22"/>
          <w:lang w:val="es-ES"/>
        </w:rPr>
        <w:t>Paulina R. Martínez-</w:t>
      </w:r>
      <w:proofErr w:type="spellStart"/>
      <w:r w:rsidR="0039197E" w:rsidRPr="0039197E">
        <w:rPr>
          <w:rFonts w:ascii="Garamond" w:hAnsi="Garamond"/>
          <w:sz w:val="24"/>
          <w:szCs w:val="22"/>
          <w:lang w:val="es-ES"/>
        </w:rPr>
        <w:t>Alanis</w:t>
      </w:r>
      <w:proofErr w:type="spellEnd"/>
      <w:r w:rsidR="0039197E" w:rsidRPr="0039197E">
        <w:rPr>
          <w:rFonts w:ascii="Garamond" w:hAnsi="Garamond"/>
          <w:sz w:val="24"/>
          <w:szCs w:val="22"/>
          <w:lang w:val="es-ES"/>
        </w:rPr>
        <w:t xml:space="preserve"> and Andreu Cabot.</w:t>
      </w:r>
      <w:r w:rsidR="00182126">
        <w:rPr>
          <w:rFonts w:ascii="Garamond" w:hAnsi="Garamond"/>
          <w:sz w:val="24"/>
          <w:szCs w:val="22"/>
          <w:lang w:val="es-ES"/>
        </w:rPr>
        <w:t xml:space="preserve"> </w:t>
      </w:r>
      <w:r w:rsidR="0039197E" w:rsidRPr="0039197E">
        <w:rPr>
          <w:rFonts w:ascii="Garamond" w:hAnsi="Garamond"/>
          <w:sz w:val="24"/>
          <w:szCs w:val="22"/>
          <w:lang w:val="es-ES"/>
        </w:rPr>
        <w:t>Catalonia Institute for Energy Research (IREC), Sant Adrià de Besòs, 08930 Barcelona, Spain</w:t>
      </w:r>
      <w:r w:rsidR="0039197E">
        <w:rPr>
          <w:rFonts w:ascii="Garamond" w:hAnsi="Garamond"/>
          <w:sz w:val="24"/>
          <w:szCs w:val="22"/>
          <w:lang w:val="es-ES"/>
        </w:rPr>
        <w:t>.</w:t>
      </w:r>
    </w:p>
    <w:p w14:paraId="2F7D1FEF" w14:textId="77777777" w:rsidR="00830FE6" w:rsidRPr="00EE418E" w:rsidRDefault="00830FE6" w:rsidP="00530879">
      <w:pPr>
        <w:jc w:val="both"/>
        <w:rPr>
          <w:rFonts w:asciiTheme="minorHAnsi" w:hAnsiTheme="minorHAnsi"/>
          <w:sz w:val="24"/>
          <w:szCs w:val="24"/>
          <w:lang w:val="es-ES"/>
        </w:rPr>
      </w:pPr>
    </w:p>
    <w:p w14:paraId="2A58045F" w14:textId="1D0CB273" w:rsidR="0016765C" w:rsidRPr="00182126" w:rsidRDefault="0016765C" w:rsidP="00AB0C3B">
      <w:pPr>
        <w:jc w:val="both"/>
        <w:rPr>
          <w:rFonts w:ascii="Garamond" w:hAnsi="Garamond"/>
          <w:b/>
          <w:sz w:val="24"/>
          <w:szCs w:val="22"/>
        </w:rPr>
      </w:pPr>
      <w:r w:rsidRPr="00182126">
        <w:rPr>
          <w:rFonts w:ascii="Garamond" w:hAnsi="Garamond"/>
          <w:b/>
          <w:sz w:val="24"/>
          <w:szCs w:val="22"/>
        </w:rPr>
        <w:t xml:space="preserve">Abstract </w:t>
      </w:r>
    </w:p>
    <w:p w14:paraId="05028935" w14:textId="37557183" w:rsidR="00EE418E" w:rsidRPr="00182126" w:rsidRDefault="00F70298" w:rsidP="00AB0C3B">
      <w:pPr>
        <w:jc w:val="both"/>
        <w:rPr>
          <w:rFonts w:ascii="Garamond" w:hAnsi="Garamond"/>
          <w:sz w:val="24"/>
          <w:szCs w:val="22"/>
        </w:rPr>
      </w:pPr>
      <w:bookmarkStart w:id="0" w:name="bbib0009"/>
      <w:r w:rsidRPr="00182126">
        <w:rPr>
          <w:rFonts w:ascii="Garamond" w:hAnsi="Garamond"/>
          <w:sz w:val="24"/>
          <w:szCs w:val="22"/>
        </w:rPr>
        <w:t xml:space="preserve">As we known, the energy storage in </w:t>
      </w:r>
      <w:r w:rsidR="00EE3635" w:rsidRPr="00182126">
        <w:rPr>
          <w:rFonts w:ascii="Garamond" w:hAnsi="Garamond"/>
          <w:sz w:val="24"/>
          <w:szCs w:val="22"/>
        </w:rPr>
        <w:t>electrochemical energy storage (EES)</w:t>
      </w:r>
      <w:r w:rsidRPr="00182126">
        <w:rPr>
          <w:rFonts w:ascii="Garamond" w:hAnsi="Garamond"/>
          <w:sz w:val="24"/>
          <w:szCs w:val="22"/>
        </w:rPr>
        <w:t xml:space="preserve"> device occurs through applying an </w:t>
      </w:r>
      <w:hyperlink r:id="rId7" w:tooltip="Learn more about applied voltage from ScienceDirect's AI-generated Topic Pages" w:history="1">
        <w:r w:rsidRPr="00182126">
          <w:rPr>
            <w:rFonts w:ascii="Garamond" w:hAnsi="Garamond"/>
            <w:sz w:val="24"/>
            <w:szCs w:val="22"/>
          </w:rPr>
          <w:t>applied voltage</w:t>
        </w:r>
      </w:hyperlink>
      <w:r w:rsidRPr="00182126">
        <w:rPr>
          <w:rFonts w:ascii="Garamond" w:hAnsi="Garamond"/>
          <w:sz w:val="24"/>
          <w:szCs w:val="22"/>
        </w:rPr>
        <w:t>, and the potential range and the type of active</w:t>
      </w:r>
      <w:r w:rsidR="00AB0C3B" w:rsidRPr="00182126">
        <w:rPr>
          <w:rFonts w:ascii="Garamond" w:hAnsi="Garamond"/>
          <w:sz w:val="24"/>
          <w:szCs w:val="22"/>
        </w:rPr>
        <w:t xml:space="preserve"> </w:t>
      </w:r>
      <w:r w:rsidRPr="00182126">
        <w:rPr>
          <w:rFonts w:ascii="Garamond" w:hAnsi="Garamond"/>
          <w:sz w:val="24"/>
          <w:szCs w:val="22"/>
        </w:rPr>
        <w:t>materials of </w:t>
      </w:r>
      <w:hyperlink r:id="rId8" w:tooltip="Learn more about anode and cathode from ScienceDirect's AI-generated Topic Pages" w:history="1">
        <w:r w:rsidRPr="00182126">
          <w:rPr>
            <w:rFonts w:ascii="Garamond" w:hAnsi="Garamond"/>
            <w:sz w:val="24"/>
            <w:szCs w:val="22"/>
          </w:rPr>
          <w:t>anode and cathode</w:t>
        </w:r>
      </w:hyperlink>
      <w:r w:rsidRPr="00182126">
        <w:rPr>
          <w:rFonts w:ascii="Garamond" w:hAnsi="Garamond"/>
          <w:sz w:val="24"/>
          <w:szCs w:val="22"/>
        </w:rPr>
        <w:t> directly determine the </w:t>
      </w:r>
      <w:hyperlink r:id="rId9" w:tooltip="Learn more about electrochemical reaction from ScienceDirect's AI-generated Topic Pages" w:history="1">
        <w:r w:rsidRPr="00182126">
          <w:rPr>
            <w:rFonts w:ascii="Garamond" w:hAnsi="Garamond"/>
            <w:sz w:val="24"/>
            <w:szCs w:val="22"/>
          </w:rPr>
          <w:t>electrochemical reaction</w:t>
        </w:r>
      </w:hyperlink>
      <w:r w:rsidRPr="00182126">
        <w:rPr>
          <w:rFonts w:ascii="Garamond" w:hAnsi="Garamond"/>
          <w:sz w:val="24"/>
          <w:szCs w:val="22"/>
        </w:rPr>
        <w:t> mechanism during charge and discharge process. Taking carbonaceous electrodes for examples, various </w:t>
      </w:r>
      <w:hyperlink r:id="rId10" w:tooltip="Learn more about isomers from ScienceDirect's AI-generated Topic Pages" w:history="1">
        <w:r w:rsidRPr="00182126">
          <w:rPr>
            <w:rFonts w:ascii="Garamond" w:hAnsi="Garamond"/>
            <w:sz w:val="24"/>
            <w:szCs w:val="22"/>
          </w:rPr>
          <w:t>isomers</w:t>
        </w:r>
      </w:hyperlink>
      <w:r w:rsidRPr="00182126">
        <w:rPr>
          <w:rFonts w:ascii="Garamond" w:hAnsi="Garamond"/>
          <w:sz w:val="24"/>
          <w:szCs w:val="22"/>
        </w:rPr>
        <w:t> of carbon materials show different charge storage mechanisms at different potential ranges, involving ion-adsorption or/and ion-intercalation</w:t>
      </w:r>
      <w:bookmarkEnd w:id="0"/>
      <w:r w:rsidR="00EE3635" w:rsidRPr="00182126">
        <w:rPr>
          <w:rFonts w:ascii="Garamond" w:hAnsi="Garamond"/>
          <w:sz w:val="24"/>
          <w:szCs w:val="22"/>
        </w:rPr>
        <w:t xml:space="preserve">. </w:t>
      </w:r>
      <w:r w:rsidRPr="00182126">
        <w:rPr>
          <w:rFonts w:ascii="Garamond" w:hAnsi="Garamond"/>
          <w:sz w:val="24"/>
          <w:szCs w:val="22"/>
        </w:rPr>
        <w:t xml:space="preserve">Coupling two carbonaceous electrodes with the same or different ion storage mechanisms can derive into different types of dual-carbon EES devices, mainly including </w:t>
      </w:r>
      <w:proofErr w:type="spellStart"/>
      <w:r w:rsidR="00AB0C3B" w:rsidRPr="00182126">
        <w:rPr>
          <w:rFonts w:ascii="Garamond" w:hAnsi="Garamond"/>
          <w:sz w:val="24"/>
          <w:szCs w:val="22"/>
        </w:rPr>
        <w:t>suercapacitors</w:t>
      </w:r>
      <w:proofErr w:type="spellEnd"/>
      <w:r w:rsidR="00AB0C3B" w:rsidRPr="00182126">
        <w:rPr>
          <w:rFonts w:ascii="Garamond" w:hAnsi="Garamond"/>
          <w:sz w:val="24"/>
          <w:szCs w:val="22"/>
        </w:rPr>
        <w:t xml:space="preserve"> (</w:t>
      </w:r>
      <w:r w:rsidRPr="00182126">
        <w:rPr>
          <w:rFonts w:ascii="Garamond" w:hAnsi="Garamond"/>
          <w:sz w:val="24"/>
          <w:szCs w:val="22"/>
        </w:rPr>
        <w:t>SCs</w:t>
      </w:r>
      <w:r w:rsidR="00AB0C3B" w:rsidRPr="00182126">
        <w:rPr>
          <w:rFonts w:ascii="Garamond" w:hAnsi="Garamond"/>
          <w:sz w:val="24"/>
          <w:szCs w:val="22"/>
        </w:rPr>
        <w:t>)</w:t>
      </w:r>
      <w:r w:rsidRPr="00182126">
        <w:rPr>
          <w:rFonts w:ascii="Garamond" w:hAnsi="Garamond"/>
          <w:sz w:val="24"/>
          <w:szCs w:val="22"/>
        </w:rPr>
        <w:t xml:space="preserve">, </w:t>
      </w:r>
      <w:r w:rsidR="00EE3635" w:rsidRPr="00182126">
        <w:rPr>
          <w:rFonts w:ascii="Garamond" w:hAnsi="Garamond"/>
          <w:sz w:val="24"/>
          <w:szCs w:val="22"/>
        </w:rPr>
        <w:t>metal-ion hybrid capacitors (MIHCs)</w:t>
      </w:r>
      <w:r w:rsidRPr="00182126">
        <w:rPr>
          <w:rFonts w:ascii="Garamond" w:hAnsi="Garamond"/>
          <w:sz w:val="24"/>
          <w:szCs w:val="22"/>
        </w:rPr>
        <w:t xml:space="preserve"> and dual-ion batteries (DIBs). SC exhibits superior power density while having </w:t>
      </w:r>
      <w:hyperlink r:id="rId11" w:tooltip="Learn more about low energy density from ScienceDirect's AI-generated Topic Pages" w:history="1">
        <w:r w:rsidRPr="00182126">
          <w:rPr>
            <w:rFonts w:ascii="Garamond" w:hAnsi="Garamond"/>
            <w:sz w:val="24"/>
            <w:szCs w:val="22"/>
          </w:rPr>
          <w:t>low energy density</w:t>
        </w:r>
      </w:hyperlink>
      <w:r w:rsidRPr="00182126">
        <w:rPr>
          <w:rFonts w:ascii="Garamond" w:hAnsi="Garamond"/>
          <w:sz w:val="24"/>
          <w:szCs w:val="22"/>
        </w:rPr>
        <w:t>. DIB</w:t>
      </w:r>
      <w:r w:rsidR="00AB0C3B" w:rsidRPr="00182126">
        <w:rPr>
          <w:rFonts w:ascii="Garamond" w:hAnsi="Garamond"/>
          <w:sz w:val="24"/>
          <w:szCs w:val="22"/>
        </w:rPr>
        <w:t>s</w:t>
      </w:r>
      <w:r w:rsidRPr="00182126">
        <w:rPr>
          <w:rFonts w:ascii="Garamond" w:hAnsi="Garamond"/>
          <w:sz w:val="24"/>
          <w:szCs w:val="22"/>
        </w:rPr>
        <w:t xml:space="preserve"> has high energy density due to their wide operating voltage, but the slow </w:t>
      </w:r>
      <w:hyperlink r:id="rId12" w:tooltip="Learn more about diffusion process from ScienceDirect's AI-generated Topic Pages" w:history="1">
        <w:r w:rsidRPr="00182126">
          <w:rPr>
            <w:rFonts w:ascii="Garamond" w:hAnsi="Garamond"/>
            <w:sz w:val="24"/>
            <w:szCs w:val="22"/>
          </w:rPr>
          <w:t>diffusion process</w:t>
        </w:r>
      </w:hyperlink>
      <w:r w:rsidRPr="00182126">
        <w:rPr>
          <w:rFonts w:ascii="Garamond" w:hAnsi="Garamond"/>
          <w:sz w:val="24"/>
          <w:szCs w:val="22"/>
        </w:rPr>
        <w:t> leads to the poor rate capability. And as mentioned before, MIHC delivers compromise combination of energy and power density. The diffe</w:t>
      </w:r>
      <w:r w:rsidRPr="00182126">
        <w:rPr>
          <w:rFonts w:ascii="Garamond" w:hAnsi="Garamond"/>
          <w:sz w:val="24"/>
          <w:szCs w:val="22"/>
        </w:rPr>
        <w:lastRenderedPageBreak/>
        <w:t>rence in energy and power density of the three EES devices is obvious and forms a sharp contrast. Therefore, we naturally make a hypothesis: if these three functional devices are integrated into one device, would the resulting device inherit the respective merits themselves.</w:t>
      </w:r>
    </w:p>
    <w:p w14:paraId="2DB47B2C" w14:textId="77777777" w:rsidR="00AB0C3B" w:rsidRPr="00182126" w:rsidRDefault="00AB0C3B" w:rsidP="00AB0C3B">
      <w:pPr>
        <w:jc w:val="both"/>
        <w:rPr>
          <w:rFonts w:ascii="Garamond" w:hAnsi="Garamond"/>
          <w:sz w:val="24"/>
          <w:szCs w:val="22"/>
        </w:rPr>
      </w:pPr>
    </w:p>
    <w:p w14:paraId="71699823" w14:textId="4C6381DB" w:rsidR="008D20F3" w:rsidRDefault="00EE3635" w:rsidP="00EE3635">
      <w:pPr>
        <w:jc w:val="center"/>
        <w:rPr>
          <w:rFonts w:ascii="Garamond" w:hAnsi="Garamond"/>
          <w:lang w:val="es-ES"/>
        </w:rPr>
      </w:pPr>
      <w:r w:rsidRPr="00EE3635">
        <w:rPr>
          <w:rFonts w:ascii="Garamond" w:hAnsi="Garamond"/>
          <w:noProof/>
          <w:lang w:val="es-ES"/>
        </w:rPr>
        <w:drawing>
          <wp:inline distT="0" distB="0" distL="0" distR="0" wp14:anchorId="44531413" wp14:editId="6A84CB46">
            <wp:extent cx="4036119" cy="1800000"/>
            <wp:effectExtent l="0" t="0" r="254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6119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4E3A56" w14:textId="5FC2D08B" w:rsidR="00D62846" w:rsidRPr="00182126" w:rsidRDefault="00AB0C3B" w:rsidP="00AB0C3B">
      <w:pPr>
        <w:pStyle w:val="AbstractCaption"/>
        <w:rPr>
          <w:rFonts w:ascii="Garamond" w:hAnsi="Garamond"/>
          <w:sz w:val="22"/>
          <w:szCs w:val="22"/>
          <w:lang w:val="en-US"/>
        </w:rPr>
      </w:pPr>
      <w:r w:rsidRPr="00182126">
        <w:rPr>
          <w:rFonts w:ascii="Garamond" w:hAnsi="Garamond"/>
          <w:sz w:val="22"/>
          <w:szCs w:val="22"/>
          <w:lang w:val="en-US"/>
        </w:rPr>
        <w:t>Fig. 1. Schematic of the electrochemical stable windows (SWs) and</w:t>
      </w:r>
      <w:r w:rsidRPr="00182126">
        <w:rPr>
          <w:rFonts w:ascii="Garamond" w:hAnsi="Garamond" w:hint="eastAsia"/>
          <w:sz w:val="22"/>
          <w:szCs w:val="22"/>
          <w:lang w:val="en-US" w:eastAsia="zh-CN"/>
        </w:rPr>
        <w:t xml:space="preserve"> </w:t>
      </w:r>
      <w:r w:rsidRPr="00182126">
        <w:rPr>
          <w:rFonts w:ascii="Garamond" w:hAnsi="Garamond"/>
          <w:sz w:val="22"/>
          <w:szCs w:val="22"/>
          <w:lang w:val="en-US"/>
        </w:rPr>
        <w:t>the electrochemical unstable windows (UWs) of K-ion based on activated carbon (AC) and graphite.</w:t>
      </w:r>
    </w:p>
    <w:sectPr w:rsidR="00D62846" w:rsidRPr="00182126" w:rsidSect="00167994">
      <w:headerReference w:type="default" r:id="rId14"/>
      <w:footerReference w:type="default" r:id="rId15"/>
      <w:pgSz w:w="11907" w:h="16840" w:code="9"/>
      <w:pgMar w:top="1701" w:right="1701" w:bottom="1701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961614" w14:textId="77777777" w:rsidR="00613F1E" w:rsidRDefault="00613F1E">
      <w:r>
        <w:separator/>
      </w:r>
    </w:p>
  </w:endnote>
  <w:endnote w:type="continuationSeparator" w:id="0">
    <w:p w14:paraId="5F401FE8" w14:textId="77777777" w:rsidR="00613F1E" w:rsidRDefault="00613F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5941AC" w14:textId="77777777" w:rsidR="00761A6B" w:rsidRPr="00761A6B" w:rsidRDefault="00761A6B" w:rsidP="00AA4C4D">
    <w:pPr>
      <w:pStyle w:val="Piedepgina"/>
      <w:pBdr>
        <w:top w:val="single" w:sz="4" w:space="1" w:color="auto"/>
      </w:pBdr>
      <w:rPr>
        <w:rFonts w:asciiTheme="majorHAnsi" w:hAnsiTheme="majorHAnsi"/>
        <w:lang w:val="es-ES"/>
      </w:rPr>
    </w:pPr>
    <w:r w:rsidRPr="00761A6B">
      <w:rPr>
        <w:rFonts w:asciiTheme="majorHAnsi" w:hAnsiTheme="majorHAnsi"/>
        <w:lang w:val="es-ES"/>
      </w:rPr>
      <w:ptab w:relativeTo="margin" w:alignment="center" w:leader="none"/>
    </w:r>
    <w:r w:rsidRPr="00761A6B">
      <w:rPr>
        <w:rFonts w:asciiTheme="majorHAnsi" w:hAnsiTheme="majorHAnsi"/>
        <w:lang w:val="es-ES"/>
      </w:rPr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0DC889" w14:textId="77777777" w:rsidR="00613F1E" w:rsidRDefault="00613F1E">
      <w:r>
        <w:separator/>
      </w:r>
    </w:p>
  </w:footnote>
  <w:footnote w:type="continuationSeparator" w:id="0">
    <w:p w14:paraId="2E676DEC" w14:textId="77777777" w:rsidR="00613F1E" w:rsidRDefault="00613F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745"/>
      <w:gridCol w:w="5730"/>
    </w:tblGrid>
    <w:tr w:rsidR="00306720" w:rsidRPr="00807D79" w14:paraId="0448B7B2" w14:textId="77777777" w:rsidTr="00EE418E">
      <w:tc>
        <w:tcPr>
          <w:tcW w:w="2745" w:type="dxa"/>
        </w:tcPr>
        <w:p w14:paraId="14FE37A5" w14:textId="77777777" w:rsidR="00EE418E" w:rsidRPr="00B839B1" w:rsidRDefault="00306720" w:rsidP="000B3EE0">
          <w:pPr>
            <w:pStyle w:val="Encabezado"/>
            <w:tabs>
              <w:tab w:val="clear" w:pos="4252"/>
              <w:tab w:val="left" w:pos="4253"/>
              <w:tab w:val="center" w:pos="4395"/>
            </w:tabs>
            <w:spacing w:line="276" w:lineRule="auto"/>
            <w:ind w:left="-536"/>
            <w:jc w:val="center"/>
            <w:rPr>
              <w:rFonts w:asciiTheme="majorHAnsi" w:hAnsiTheme="majorHAnsi"/>
              <w:sz w:val="24"/>
              <w:lang w:val="pt-PT"/>
            </w:rPr>
          </w:pPr>
          <w:r>
            <w:rPr>
              <w:rFonts w:asciiTheme="majorHAnsi" w:hAnsiTheme="majorHAnsi"/>
              <w:noProof/>
              <w:sz w:val="24"/>
              <w:lang w:val="pt-PT"/>
            </w:rPr>
            <w:drawing>
              <wp:inline distT="0" distB="0" distL="0" distR="0" wp14:anchorId="60F4A526" wp14:editId="73713211">
                <wp:extent cx="1705424" cy="958850"/>
                <wp:effectExtent l="0" t="0" r="9525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57367" cy="98805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30" w:type="dxa"/>
          <w:vAlign w:val="center"/>
        </w:tcPr>
        <w:p w14:paraId="77A961BF" w14:textId="77777777" w:rsidR="00807D79" w:rsidRPr="00807D79" w:rsidRDefault="00807D79" w:rsidP="00294D00">
          <w:pPr>
            <w:pStyle w:val="Encabezado"/>
            <w:tabs>
              <w:tab w:val="clear" w:pos="4252"/>
              <w:tab w:val="left" w:pos="4253"/>
              <w:tab w:val="center" w:pos="4395"/>
            </w:tabs>
            <w:ind w:left="-167"/>
            <w:jc w:val="center"/>
            <w:rPr>
              <w:rFonts w:ascii="Garamond" w:eastAsia="+mn-ea" w:hAnsi="Garamond" w:cs="Calibri"/>
              <w:b/>
              <w:bCs/>
              <w:kern w:val="24"/>
              <w:sz w:val="28"/>
              <w:szCs w:val="28"/>
              <w:lang w:val="es-ES" w:eastAsia="es-ES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807D79">
            <w:rPr>
              <w:rFonts w:ascii="Garamond" w:eastAsia="+mn-ea" w:hAnsi="Garamond" w:cs="Calibri"/>
              <w:b/>
              <w:bCs/>
              <w:kern w:val="24"/>
              <w:sz w:val="28"/>
              <w:szCs w:val="28"/>
              <w:lang w:val="es-ES" w:eastAsia="es-ES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 xml:space="preserve">XLII Reunión del Grupo </w:t>
          </w:r>
          <w:r w:rsidR="00294D00">
            <w:rPr>
              <w:rFonts w:ascii="Garamond" w:eastAsia="+mn-ea" w:hAnsi="Garamond" w:cs="Calibri"/>
              <w:b/>
              <w:bCs/>
              <w:kern w:val="24"/>
              <w:sz w:val="28"/>
              <w:szCs w:val="28"/>
              <w:lang w:val="es-ES" w:eastAsia="es-ES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 xml:space="preserve">Especializado </w:t>
          </w:r>
          <w:r w:rsidRPr="00807D79">
            <w:rPr>
              <w:rFonts w:ascii="Garamond" w:eastAsia="+mn-ea" w:hAnsi="Garamond" w:cs="Calibri"/>
              <w:b/>
              <w:bCs/>
              <w:kern w:val="24"/>
              <w:sz w:val="28"/>
              <w:szCs w:val="28"/>
              <w:lang w:val="es-ES" w:eastAsia="es-ES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de Electroquímica de la RSEQ (42 GERSEQ 2022)</w:t>
          </w:r>
        </w:p>
        <w:p w14:paraId="3817CE0E" w14:textId="77777777" w:rsidR="00EE418E" w:rsidRPr="00807D79" w:rsidRDefault="00807D79" w:rsidP="000B3EE0">
          <w:pPr>
            <w:pStyle w:val="Encabezado"/>
            <w:tabs>
              <w:tab w:val="clear" w:pos="4252"/>
              <w:tab w:val="left" w:pos="4253"/>
              <w:tab w:val="center" w:pos="4395"/>
            </w:tabs>
            <w:jc w:val="center"/>
            <w:rPr>
              <w:rFonts w:ascii="Garamond" w:hAnsi="Garamond"/>
              <w:b/>
              <w:sz w:val="32"/>
              <w:szCs w:val="32"/>
              <w:lang w:val="pt-PT"/>
            </w:rPr>
          </w:pPr>
          <w:r>
            <w:rPr>
              <w:rFonts w:ascii="Garamond" w:hAnsi="Garamond"/>
              <w:b/>
              <w:sz w:val="28"/>
              <w:szCs w:val="28"/>
              <w:lang w:val="pt-PT"/>
            </w:rPr>
            <w:t>Santander, 6-8</w:t>
          </w:r>
          <w:r w:rsidR="001861B6" w:rsidRPr="00807D79">
            <w:rPr>
              <w:rFonts w:ascii="Garamond" w:hAnsi="Garamond"/>
              <w:b/>
              <w:sz w:val="28"/>
              <w:szCs w:val="28"/>
              <w:lang w:val="pt-PT"/>
            </w:rPr>
            <w:t xml:space="preserve"> Julio</w:t>
          </w:r>
          <w:r w:rsidR="00EE418E" w:rsidRPr="00807D79">
            <w:rPr>
              <w:rFonts w:ascii="Garamond" w:hAnsi="Garamond"/>
              <w:b/>
              <w:sz w:val="28"/>
              <w:szCs w:val="28"/>
              <w:lang w:val="pt-PT"/>
            </w:rPr>
            <w:t xml:space="preserve"> 20</w:t>
          </w:r>
          <w:r w:rsidR="00C82B92">
            <w:rPr>
              <w:rFonts w:ascii="Garamond" w:hAnsi="Garamond"/>
              <w:b/>
              <w:sz w:val="28"/>
              <w:szCs w:val="28"/>
              <w:lang w:val="pt-PT"/>
            </w:rPr>
            <w:t>22</w:t>
          </w:r>
        </w:p>
      </w:tc>
    </w:tr>
  </w:tbl>
  <w:p w14:paraId="74BBDB83" w14:textId="77777777" w:rsidR="005B6B45" w:rsidRPr="00B839B1" w:rsidRDefault="005B6B45" w:rsidP="002D1518">
    <w:pPr>
      <w:pStyle w:val="Encabezado"/>
      <w:pBdr>
        <w:top w:val="single" w:sz="4" w:space="1" w:color="auto"/>
      </w:pBdr>
      <w:spacing w:line="480" w:lineRule="auto"/>
      <w:rPr>
        <w:rFonts w:asciiTheme="majorHAnsi" w:hAnsiTheme="majorHAnsi"/>
        <w:sz w:val="16"/>
        <w:szCs w:val="16"/>
        <w:lang w:val="pt-PT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tDQ1NzM0MzEzMTGztDRX0lEKTi0uzszPAykwrAUATqoX/iwAAAA="/>
  </w:docVars>
  <w:rsids>
    <w:rsidRoot w:val="00DC7A4E"/>
    <w:rsid w:val="00024331"/>
    <w:rsid w:val="0004082D"/>
    <w:rsid w:val="0007035D"/>
    <w:rsid w:val="00070E59"/>
    <w:rsid w:val="000868A3"/>
    <w:rsid w:val="0009721C"/>
    <w:rsid w:val="000A2093"/>
    <w:rsid w:val="000B3EE0"/>
    <w:rsid w:val="000C07A7"/>
    <w:rsid w:val="000D67D5"/>
    <w:rsid w:val="00123F69"/>
    <w:rsid w:val="00143626"/>
    <w:rsid w:val="0016765C"/>
    <w:rsid w:val="00167994"/>
    <w:rsid w:val="00182126"/>
    <w:rsid w:val="001861B6"/>
    <w:rsid w:val="00196CAF"/>
    <w:rsid w:val="001D7E88"/>
    <w:rsid w:val="00203491"/>
    <w:rsid w:val="00203614"/>
    <w:rsid w:val="002201C1"/>
    <w:rsid w:val="00240130"/>
    <w:rsid w:val="00247CD2"/>
    <w:rsid w:val="00286756"/>
    <w:rsid w:val="0028791E"/>
    <w:rsid w:val="00294D00"/>
    <w:rsid w:val="002D1518"/>
    <w:rsid w:val="002D3067"/>
    <w:rsid w:val="002E2D9B"/>
    <w:rsid w:val="00306720"/>
    <w:rsid w:val="00363784"/>
    <w:rsid w:val="00376AAF"/>
    <w:rsid w:val="0039197E"/>
    <w:rsid w:val="003A72D5"/>
    <w:rsid w:val="003E49EB"/>
    <w:rsid w:val="004046B1"/>
    <w:rsid w:val="00446021"/>
    <w:rsid w:val="0047146F"/>
    <w:rsid w:val="00477541"/>
    <w:rsid w:val="004B4453"/>
    <w:rsid w:val="00530879"/>
    <w:rsid w:val="005704FF"/>
    <w:rsid w:val="005859DF"/>
    <w:rsid w:val="005B6B45"/>
    <w:rsid w:val="005C239F"/>
    <w:rsid w:val="005C34DC"/>
    <w:rsid w:val="005D65E5"/>
    <w:rsid w:val="00613F1E"/>
    <w:rsid w:val="00642C2C"/>
    <w:rsid w:val="0065522E"/>
    <w:rsid w:val="0067036C"/>
    <w:rsid w:val="0068256B"/>
    <w:rsid w:val="00686736"/>
    <w:rsid w:val="006A3935"/>
    <w:rsid w:val="006C1127"/>
    <w:rsid w:val="006F69F9"/>
    <w:rsid w:val="0072427B"/>
    <w:rsid w:val="00733CC7"/>
    <w:rsid w:val="007379A4"/>
    <w:rsid w:val="00761A6B"/>
    <w:rsid w:val="00762E10"/>
    <w:rsid w:val="00766762"/>
    <w:rsid w:val="00772B69"/>
    <w:rsid w:val="00786F55"/>
    <w:rsid w:val="007A4E96"/>
    <w:rsid w:val="007C3186"/>
    <w:rsid w:val="007D2205"/>
    <w:rsid w:val="00807D79"/>
    <w:rsid w:val="00825387"/>
    <w:rsid w:val="00830FE6"/>
    <w:rsid w:val="00831359"/>
    <w:rsid w:val="00863D84"/>
    <w:rsid w:val="00881797"/>
    <w:rsid w:val="008A734C"/>
    <w:rsid w:val="008D20F3"/>
    <w:rsid w:val="008D2399"/>
    <w:rsid w:val="008E5735"/>
    <w:rsid w:val="009227F8"/>
    <w:rsid w:val="00946970"/>
    <w:rsid w:val="009918CD"/>
    <w:rsid w:val="009C6B71"/>
    <w:rsid w:val="009D613A"/>
    <w:rsid w:val="009F0344"/>
    <w:rsid w:val="00A00135"/>
    <w:rsid w:val="00A25F24"/>
    <w:rsid w:val="00A30A49"/>
    <w:rsid w:val="00A4623C"/>
    <w:rsid w:val="00A67F86"/>
    <w:rsid w:val="00A859F9"/>
    <w:rsid w:val="00A924E5"/>
    <w:rsid w:val="00AA4C4D"/>
    <w:rsid w:val="00AB0C3B"/>
    <w:rsid w:val="00AB661D"/>
    <w:rsid w:val="00AC0B02"/>
    <w:rsid w:val="00AC26BC"/>
    <w:rsid w:val="00AC597E"/>
    <w:rsid w:val="00AF29EC"/>
    <w:rsid w:val="00B114B7"/>
    <w:rsid w:val="00B3201F"/>
    <w:rsid w:val="00B45BF0"/>
    <w:rsid w:val="00B51A4E"/>
    <w:rsid w:val="00B608AE"/>
    <w:rsid w:val="00B62A68"/>
    <w:rsid w:val="00B839B1"/>
    <w:rsid w:val="00BA72B5"/>
    <w:rsid w:val="00C0179A"/>
    <w:rsid w:val="00C13315"/>
    <w:rsid w:val="00C32CE8"/>
    <w:rsid w:val="00C82977"/>
    <w:rsid w:val="00C82B92"/>
    <w:rsid w:val="00C93AA1"/>
    <w:rsid w:val="00CB2994"/>
    <w:rsid w:val="00CE31D8"/>
    <w:rsid w:val="00D05F05"/>
    <w:rsid w:val="00D07ACF"/>
    <w:rsid w:val="00D22016"/>
    <w:rsid w:val="00D62846"/>
    <w:rsid w:val="00DA02DF"/>
    <w:rsid w:val="00DA1D86"/>
    <w:rsid w:val="00DC222F"/>
    <w:rsid w:val="00DC7A4E"/>
    <w:rsid w:val="00DD5854"/>
    <w:rsid w:val="00DD5DBF"/>
    <w:rsid w:val="00E01A28"/>
    <w:rsid w:val="00E41EFE"/>
    <w:rsid w:val="00E53EF2"/>
    <w:rsid w:val="00E6580B"/>
    <w:rsid w:val="00E707C4"/>
    <w:rsid w:val="00E9511D"/>
    <w:rsid w:val="00EC099B"/>
    <w:rsid w:val="00EC3AEE"/>
    <w:rsid w:val="00EE3635"/>
    <w:rsid w:val="00EE418E"/>
    <w:rsid w:val="00F51426"/>
    <w:rsid w:val="00F55D0F"/>
    <w:rsid w:val="00F70298"/>
    <w:rsid w:val="00F802DB"/>
    <w:rsid w:val="00F90D3F"/>
    <w:rsid w:val="00F9269D"/>
    <w:rsid w:val="00FB3710"/>
    <w:rsid w:val="00FB6093"/>
    <w:rsid w:val="00FE4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081AFB3"/>
  <w15:docId w15:val="{EB82FD11-99E2-4DC6-BD2B-8A6341C5C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lang w:val="gl-ES" w:eastAsia="gl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67994"/>
    <w:rPr>
      <w:lang w:val="en-US" w:eastAsia="en-US"/>
    </w:rPr>
  </w:style>
  <w:style w:type="paragraph" w:styleId="Ttulo1">
    <w:name w:val="heading 1"/>
    <w:basedOn w:val="Normal"/>
    <w:next w:val="Normal"/>
    <w:qFormat/>
    <w:rsid w:val="00167994"/>
    <w:pPr>
      <w:keepNext/>
      <w:jc w:val="both"/>
      <w:outlineLvl w:val="0"/>
    </w:pPr>
    <w:rPr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16799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67994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rsid w:val="00167994"/>
    <w:pPr>
      <w:jc w:val="center"/>
    </w:pPr>
    <w:rPr>
      <w:b/>
      <w:bCs/>
      <w:sz w:val="28"/>
    </w:rPr>
  </w:style>
  <w:style w:type="character" w:styleId="Hipervnculo">
    <w:name w:val="Hyperlink"/>
    <w:basedOn w:val="Fuentedeprrafopredeter"/>
    <w:rsid w:val="00762E10"/>
    <w:rPr>
      <w:color w:val="0563C1" w:themeColor="hyperlink"/>
      <w:u w:val="single"/>
    </w:rPr>
  </w:style>
  <w:style w:type="table" w:styleId="Tablaconcuadrcula">
    <w:name w:val="Table Grid"/>
    <w:basedOn w:val="Tablanormal"/>
    <w:rsid w:val="00CB29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rsid w:val="0028791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28791E"/>
    <w:rPr>
      <w:rFonts w:ascii="Tahoma" w:hAnsi="Tahoma" w:cs="Tahoma"/>
      <w:sz w:val="16"/>
      <w:szCs w:val="16"/>
      <w:lang w:val="en-US" w:eastAsia="en-US"/>
    </w:rPr>
  </w:style>
  <w:style w:type="paragraph" w:styleId="NormalWeb">
    <w:name w:val="Normal (Web)"/>
    <w:basedOn w:val="Normal"/>
    <w:uiPriority w:val="99"/>
    <w:unhideWhenUsed/>
    <w:rsid w:val="000B3EE0"/>
    <w:pPr>
      <w:spacing w:before="100" w:beforeAutospacing="1" w:after="100" w:afterAutospacing="1"/>
    </w:pPr>
    <w:rPr>
      <w:sz w:val="24"/>
      <w:szCs w:val="24"/>
      <w:lang w:val="es-ES" w:eastAsia="es-ES"/>
    </w:rPr>
  </w:style>
  <w:style w:type="paragraph" w:customStyle="1" w:styleId="AbstractCaption">
    <w:name w:val="Abstract_Caption"/>
    <w:basedOn w:val="Normal"/>
    <w:link w:val="AbstractCaptionCar"/>
    <w:qFormat/>
    <w:rsid w:val="00C13315"/>
    <w:pPr>
      <w:spacing w:before="40" w:after="120"/>
      <w:jc w:val="center"/>
    </w:pPr>
    <w:rPr>
      <w:rFonts w:ascii="Arial" w:hAnsi="Arial" w:cs="Arial"/>
      <w:sz w:val="18"/>
      <w:lang w:val="en-GB"/>
    </w:rPr>
  </w:style>
  <w:style w:type="character" w:customStyle="1" w:styleId="AbstractCaptionCar">
    <w:name w:val="Abstract_Caption Car"/>
    <w:link w:val="AbstractCaption"/>
    <w:rsid w:val="00C13315"/>
    <w:rPr>
      <w:rFonts w:ascii="Arial" w:hAnsi="Arial" w:cs="Arial"/>
      <w:sz w:val="18"/>
      <w:lang w:val="en-GB" w:eastAsia="en-US"/>
    </w:rPr>
  </w:style>
  <w:style w:type="character" w:styleId="Mencinsinresolver">
    <w:name w:val="Unresolved Mention"/>
    <w:basedOn w:val="Fuentedeprrafopredeter"/>
    <w:uiPriority w:val="99"/>
    <w:semiHidden/>
    <w:unhideWhenUsed/>
    <w:rsid w:val="00DA1D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147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-sciencedirect-com.sire.ub.edu/topics/engineering/anodes-and-cathode" TargetMode="External"/><Relationship Id="rId13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s://www-sciencedirect-com.sire.ub.edu/topics/engineering/applied-voltage" TargetMode="External"/><Relationship Id="rId12" Type="http://schemas.openxmlformats.org/officeDocument/2006/relationships/hyperlink" Target="https://www-sciencedirect-com.sire.ub.edu/topics/engineering/diffusion-process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-sciencedirect-com.sire.ub.edu/topics/engineering/low-energy-density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s://www-sciencedirect-com.sire.ub.edu/topics/materials-science/isome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-sciencedirect-com.sire.ub.edu/topics/materials-science/electrochemical-reaction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744FCA-157A-4AFA-9A3A-F1F63443CC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261</Words>
  <Characters>2693</Characters>
  <Application>Microsoft Office Word</Application>
  <DocSecurity>4</DocSecurity>
  <Lines>22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Title</vt:lpstr>
    </vt:vector>
  </TitlesOfParts>
  <Company/>
  <LinksUpToDate>false</LinksUpToDate>
  <CharactersWithSpaces>2949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Ramón Nóvoa</dc:creator>
  <cp:keywords/>
  <dc:description/>
  <cp:lastModifiedBy>Enrique Herrero</cp:lastModifiedBy>
  <cp:revision>2</cp:revision>
  <cp:lastPrinted>2016-02-23T11:55:00Z</cp:lastPrinted>
  <dcterms:created xsi:type="dcterms:W3CDTF">2022-06-13T06:43:00Z</dcterms:created>
  <dcterms:modified xsi:type="dcterms:W3CDTF">2022-06-13T06:43:00Z</dcterms:modified>
</cp:coreProperties>
</file>