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B7705" w14:textId="61376DA4" w:rsidR="00EC099B" w:rsidRPr="00D90606" w:rsidRDefault="00932135" w:rsidP="00530879">
      <w:pPr>
        <w:pStyle w:val="Ttulo"/>
        <w:spacing w:before="120"/>
        <w:rPr>
          <w:rFonts w:ascii="Garamond" w:hAnsi="Garamond" w:cs="Arial"/>
          <w:lang w:val="en-GB"/>
        </w:rPr>
      </w:pPr>
      <w:bookmarkStart w:id="0" w:name="_Int_Md7uP8Ks"/>
      <w:r w:rsidRPr="495BAC12">
        <w:rPr>
          <w:rFonts w:ascii="Garamond" w:hAnsi="Garamond" w:cs="Arial"/>
          <w:lang w:val="en-GB"/>
        </w:rPr>
        <w:t>Study of interfacial effects of CO</w:t>
      </w:r>
      <w:r w:rsidRPr="495BAC12">
        <w:rPr>
          <w:rFonts w:ascii="Garamond" w:hAnsi="Garamond" w:cs="Arial"/>
          <w:vertAlign w:val="subscript"/>
          <w:lang w:val="en-GB"/>
        </w:rPr>
        <w:t>2</w:t>
      </w:r>
      <w:r w:rsidRPr="495BAC12">
        <w:rPr>
          <w:rFonts w:ascii="Garamond" w:hAnsi="Garamond" w:cs="Arial"/>
          <w:lang w:val="en-GB"/>
        </w:rPr>
        <w:t xml:space="preserve"> electroreduction in Pt.</w:t>
      </w:r>
      <w:bookmarkEnd w:id="0"/>
    </w:p>
    <w:p w14:paraId="6DF1CCC9" w14:textId="77777777" w:rsidR="00EC099B" w:rsidRPr="00D90606" w:rsidRDefault="00EC099B" w:rsidP="00530879">
      <w:pPr>
        <w:jc w:val="both"/>
        <w:rPr>
          <w:rFonts w:asciiTheme="minorHAnsi" w:hAnsiTheme="minorHAnsi"/>
          <w:sz w:val="24"/>
          <w:lang w:val="en-GB"/>
        </w:rPr>
      </w:pPr>
    </w:p>
    <w:p w14:paraId="692B1E55" w14:textId="7275DF9C" w:rsidR="00EC099B" w:rsidRPr="000C51A8" w:rsidRDefault="00932135" w:rsidP="00830FE6">
      <w:pPr>
        <w:jc w:val="center"/>
        <w:rPr>
          <w:rFonts w:ascii="Garamond" w:hAnsi="Garamond" w:cs="Arial"/>
          <w:sz w:val="24"/>
          <w:lang w:val="es-ES"/>
        </w:rPr>
      </w:pPr>
      <w:r w:rsidRPr="000C51A8">
        <w:rPr>
          <w:rFonts w:ascii="Garamond" w:hAnsi="Garamond" w:cs="Arial"/>
          <w:sz w:val="24"/>
          <w:u w:val="single"/>
          <w:lang w:val="es-ES"/>
        </w:rPr>
        <w:t>Rufino Cabezas Montero</w:t>
      </w:r>
    </w:p>
    <w:p w14:paraId="36379D8A" w14:textId="71FB8CCF" w:rsidR="00946970" w:rsidRPr="000C51A8" w:rsidRDefault="008B11AF" w:rsidP="00530879">
      <w:pPr>
        <w:jc w:val="center"/>
        <w:rPr>
          <w:rFonts w:ascii="Garamond" w:hAnsi="Garamond"/>
          <w:iCs/>
          <w:sz w:val="22"/>
          <w:szCs w:val="22"/>
          <w:lang w:val="es-ES"/>
        </w:rPr>
      </w:pPr>
      <w:r>
        <w:rPr>
          <w:rFonts w:ascii="Garamond" w:hAnsi="Garamond"/>
          <w:iCs/>
          <w:sz w:val="22"/>
          <w:szCs w:val="22"/>
          <w:lang w:val="es-ES"/>
        </w:rPr>
        <w:t xml:space="preserve">Instituto de Electroquímica, Universidad de Alicante, Apdo. 99, 03080 Alicante, </w:t>
      </w:r>
      <w:proofErr w:type="spellStart"/>
      <w:r>
        <w:rPr>
          <w:rFonts w:ascii="Garamond" w:hAnsi="Garamond"/>
          <w:iCs/>
          <w:sz w:val="22"/>
          <w:szCs w:val="22"/>
          <w:lang w:val="es-ES"/>
        </w:rPr>
        <w:t>Spain</w:t>
      </w:r>
      <w:proofErr w:type="spellEnd"/>
      <w:r>
        <w:rPr>
          <w:rFonts w:ascii="Garamond" w:hAnsi="Garamond"/>
          <w:iCs/>
          <w:sz w:val="22"/>
          <w:szCs w:val="22"/>
          <w:lang w:val="es-ES"/>
        </w:rPr>
        <w:t>.</w:t>
      </w:r>
    </w:p>
    <w:p w14:paraId="0EA377E0" w14:textId="036D4DBE" w:rsidR="00EC099B" w:rsidRPr="000C51A8" w:rsidRDefault="00932135" w:rsidP="00530879">
      <w:pPr>
        <w:jc w:val="center"/>
        <w:rPr>
          <w:rFonts w:ascii="Arial Narrow" w:hAnsi="Arial Narrow"/>
          <w:iCs/>
          <w:sz w:val="22"/>
          <w:szCs w:val="22"/>
          <w:lang w:val="es-ES"/>
        </w:rPr>
      </w:pPr>
      <w:r w:rsidRPr="000C51A8">
        <w:rPr>
          <w:rFonts w:ascii="Garamond" w:hAnsi="Garamond"/>
          <w:iCs/>
          <w:sz w:val="22"/>
          <w:szCs w:val="22"/>
          <w:lang w:val="es-ES"/>
        </w:rPr>
        <w:t>rcm142@alu.ua.es</w:t>
      </w:r>
    </w:p>
    <w:p w14:paraId="303A7D74" w14:textId="0E13B3B6" w:rsidR="005B6B45" w:rsidRPr="000C51A8" w:rsidRDefault="003A72D5" w:rsidP="00530879">
      <w:pPr>
        <w:jc w:val="both"/>
        <w:rPr>
          <w:rFonts w:asciiTheme="minorHAnsi" w:hAnsiTheme="minorHAnsi"/>
          <w:sz w:val="24"/>
          <w:szCs w:val="24"/>
          <w:lang w:val="es-ES"/>
        </w:rPr>
      </w:pPr>
      <w:r w:rsidRPr="000C51A8">
        <w:rPr>
          <w:rFonts w:ascii="Garamond" w:hAnsi="Garamond"/>
          <w:b/>
          <w:sz w:val="24"/>
          <w:szCs w:val="22"/>
          <w:lang w:val="es-ES"/>
        </w:rPr>
        <w:t>Mentor</w:t>
      </w:r>
      <w:r w:rsidR="00830FE6" w:rsidRPr="000C51A8">
        <w:rPr>
          <w:rFonts w:ascii="Garamond" w:hAnsi="Garamond"/>
          <w:b/>
          <w:sz w:val="24"/>
          <w:szCs w:val="22"/>
          <w:lang w:val="es-ES"/>
        </w:rPr>
        <w:t>:</w:t>
      </w:r>
      <w:r w:rsidR="00642C2C" w:rsidRPr="000C51A8">
        <w:rPr>
          <w:rFonts w:ascii="Garamond" w:hAnsi="Garamond"/>
          <w:b/>
          <w:sz w:val="24"/>
          <w:szCs w:val="22"/>
          <w:lang w:val="es-ES"/>
        </w:rPr>
        <w:t xml:space="preserve"> </w:t>
      </w:r>
      <w:r w:rsidR="00F83028" w:rsidRPr="000C51A8">
        <w:rPr>
          <w:rFonts w:ascii="Garamond" w:hAnsi="Garamond"/>
          <w:sz w:val="24"/>
          <w:szCs w:val="22"/>
          <w:lang w:val="es-ES"/>
        </w:rPr>
        <w:t>Victor Jose Climent Paya, Universidad de Alicante</w:t>
      </w:r>
    </w:p>
    <w:p w14:paraId="56238214" w14:textId="7F64C5D4" w:rsidR="00830FE6" w:rsidRPr="000C51A8" w:rsidRDefault="00830FE6" w:rsidP="00530879">
      <w:pPr>
        <w:jc w:val="both"/>
        <w:rPr>
          <w:rFonts w:asciiTheme="minorHAnsi" w:hAnsiTheme="minorHAnsi"/>
          <w:sz w:val="24"/>
          <w:szCs w:val="24"/>
          <w:lang w:val="es-ES"/>
        </w:rPr>
      </w:pPr>
      <w:r w:rsidRPr="000C51A8">
        <w:rPr>
          <w:rFonts w:ascii="Garamond" w:hAnsi="Garamond"/>
          <w:b/>
          <w:sz w:val="24"/>
          <w:szCs w:val="22"/>
          <w:lang w:val="es-ES"/>
        </w:rPr>
        <w:t>Director:</w:t>
      </w:r>
      <w:r w:rsidR="00642C2C" w:rsidRPr="000C51A8">
        <w:rPr>
          <w:rFonts w:ascii="Garamond" w:hAnsi="Garamond"/>
          <w:bCs/>
          <w:sz w:val="24"/>
          <w:szCs w:val="22"/>
          <w:lang w:val="es-ES"/>
        </w:rPr>
        <w:t xml:space="preserve"> </w:t>
      </w:r>
      <w:r w:rsidR="00F83028" w:rsidRPr="000C51A8">
        <w:rPr>
          <w:rFonts w:ascii="Garamond" w:hAnsi="Garamond"/>
          <w:sz w:val="24"/>
          <w:szCs w:val="22"/>
          <w:lang w:val="es-ES"/>
        </w:rPr>
        <w:t>Victor Jose Climent Paya, Universidad de Alicante</w:t>
      </w:r>
    </w:p>
    <w:p w14:paraId="2F7D1FEF" w14:textId="77777777" w:rsidR="00830FE6" w:rsidRPr="000C51A8" w:rsidRDefault="00830FE6" w:rsidP="00530879">
      <w:pPr>
        <w:jc w:val="both"/>
        <w:rPr>
          <w:rFonts w:asciiTheme="minorHAnsi" w:hAnsiTheme="minorHAnsi"/>
          <w:sz w:val="24"/>
          <w:szCs w:val="24"/>
          <w:lang w:val="es-ES"/>
        </w:rPr>
      </w:pPr>
    </w:p>
    <w:p w14:paraId="1C98D9F3" w14:textId="308BD361" w:rsidR="00EE418E" w:rsidRPr="00C821FC" w:rsidRDefault="00AE0EA7" w:rsidP="495BAC12">
      <w:pPr>
        <w:jc w:val="both"/>
        <w:rPr>
          <w:rFonts w:ascii="Garamond" w:hAnsi="Garamond"/>
          <w:b/>
          <w:bCs/>
          <w:sz w:val="24"/>
          <w:szCs w:val="24"/>
          <w:lang w:val="en-GB"/>
        </w:rPr>
      </w:pPr>
      <w:r w:rsidRPr="495BAC12">
        <w:rPr>
          <w:rFonts w:ascii="Garamond" w:hAnsi="Garamond"/>
          <w:b/>
          <w:bCs/>
          <w:sz w:val="24"/>
          <w:szCs w:val="24"/>
          <w:lang w:val="en-GB"/>
        </w:rPr>
        <w:t>Abstract</w:t>
      </w:r>
    </w:p>
    <w:p w14:paraId="6A7E9B6B" w14:textId="4FBE01D4" w:rsidR="00EE418E" w:rsidRPr="00C821FC" w:rsidRDefault="495BAC12" w:rsidP="495BAC12">
      <w:pPr>
        <w:jc w:val="both"/>
        <w:rPr>
          <w:rFonts w:ascii="Garamond" w:hAnsi="Garamond"/>
          <w:sz w:val="24"/>
          <w:szCs w:val="24"/>
          <w:lang w:val="en-GB"/>
        </w:rPr>
      </w:pPr>
      <w:r w:rsidRPr="495BAC12">
        <w:rPr>
          <w:rFonts w:ascii="Garamond" w:hAnsi="Garamond"/>
          <w:sz w:val="24"/>
          <w:szCs w:val="24"/>
          <w:lang w:val="en-GB"/>
        </w:rPr>
        <w:t>The CO</w:t>
      </w:r>
      <w:r w:rsidRPr="495BAC12">
        <w:rPr>
          <w:rFonts w:ascii="Garamond" w:hAnsi="Garamond"/>
          <w:sz w:val="24"/>
          <w:szCs w:val="24"/>
          <w:vertAlign w:val="subscript"/>
          <w:lang w:val="en-GB"/>
        </w:rPr>
        <w:t>2</w:t>
      </w:r>
      <w:r w:rsidRPr="495BAC12">
        <w:rPr>
          <w:rFonts w:ascii="Garamond" w:hAnsi="Garamond"/>
          <w:sz w:val="24"/>
          <w:szCs w:val="24"/>
          <w:lang w:val="en-GB"/>
        </w:rPr>
        <w:t xml:space="preserve"> is considered the main responsible of the global warming The CO</w:t>
      </w:r>
      <w:r w:rsidRPr="008B11AF">
        <w:rPr>
          <w:rFonts w:ascii="Garamond" w:hAnsi="Garamond"/>
          <w:sz w:val="24"/>
          <w:szCs w:val="24"/>
          <w:vertAlign w:val="subscript"/>
          <w:lang w:val="en-GB"/>
        </w:rPr>
        <w:t>2</w:t>
      </w:r>
      <w:r w:rsidRPr="495BAC12">
        <w:rPr>
          <w:rFonts w:ascii="Garamond" w:hAnsi="Garamond"/>
          <w:sz w:val="24"/>
          <w:szCs w:val="24"/>
          <w:lang w:val="en-GB"/>
        </w:rPr>
        <w:t xml:space="preserve"> electroreduction reaction (CO2RR) to fuels and feedstocks represents a viable alternative to help to close the anthropogenic carbon cycle and store renewable energy. The main problem hinder</w:t>
      </w:r>
      <w:r w:rsidR="008B11AF">
        <w:rPr>
          <w:rFonts w:ascii="Garamond" w:hAnsi="Garamond"/>
          <w:sz w:val="24"/>
          <w:szCs w:val="24"/>
          <w:lang w:val="en-GB"/>
        </w:rPr>
        <w:t>ing</w:t>
      </w:r>
      <w:r w:rsidRPr="495BAC12">
        <w:rPr>
          <w:rFonts w:ascii="Garamond" w:hAnsi="Garamond"/>
          <w:sz w:val="24"/>
          <w:szCs w:val="24"/>
          <w:lang w:val="en-GB"/>
        </w:rPr>
        <w:t xml:space="preserve"> the commercialization of such technology is the electrode needed for the reaction to take place. The overpotential needed on most of the metal electrodes is very high, leading to inefficient energy consumption, and the reaction takes place at a potential range that overlaps with the hydrogen evolution reaction (HER)</w:t>
      </w:r>
      <w:r w:rsidR="00D9216D" w:rsidRPr="495BAC12">
        <w:rPr>
          <w:rFonts w:ascii="Garamond" w:hAnsi="Garamond"/>
          <w:sz w:val="24"/>
          <w:szCs w:val="24"/>
          <w:lang w:val="en-GB"/>
        </w:rPr>
        <w:t xml:space="preserve"> lowering the </w:t>
      </w:r>
      <w:r w:rsidR="004B78FF" w:rsidRPr="495BAC12">
        <w:rPr>
          <w:rFonts w:ascii="Garamond" w:hAnsi="Garamond"/>
          <w:sz w:val="24"/>
          <w:szCs w:val="24"/>
          <w:lang w:val="en-GB"/>
        </w:rPr>
        <w:t>selectivity and the efficiency.</w:t>
      </w:r>
    </w:p>
    <w:p w14:paraId="05028935" w14:textId="300916AC" w:rsidR="00EE418E" w:rsidRPr="00C821FC" w:rsidRDefault="008B11AF" w:rsidP="495BAC12">
      <w:pPr>
        <w:ind w:right="49"/>
        <w:jc w:val="both"/>
      </w:pPr>
      <w:r>
        <w:rPr>
          <w:noProof/>
        </w:rPr>
        <mc:AlternateContent>
          <mc:Choice Requires="wps">
            <w:drawing>
              <wp:anchor distT="0" distB="0" distL="114300" distR="114300" simplePos="0" relativeHeight="251660288" behindDoc="0" locked="0" layoutInCell="1" allowOverlap="1" wp14:anchorId="1F4E4157" wp14:editId="689AE432">
                <wp:simplePos x="0" y="0"/>
                <wp:positionH relativeFrom="margin">
                  <wp:align>left</wp:align>
                </wp:positionH>
                <wp:positionV relativeFrom="paragraph">
                  <wp:posOffset>1878965</wp:posOffset>
                </wp:positionV>
                <wp:extent cx="2433955" cy="629920"/>
                <wp:effectExtent l="0" t="0" r="4445" b="0"/>
                <wp:wrapSquare wrapText="bothSides"/>
                <wp:docPr id="2" name="Cuadro de texto 2"/>
                <wp:cNvGraphicFramePr/>
                <a:graphic xmlns:a="http://schemas.openxmlformats.org/drawingml/2006/main">
                  <a:graphicData uri="http://schemas.microsoft.com/office/word/2010/wordprocessingShape">
                    <wps:wsp>
                      <wps:cNvSpPr txBox="1"/>
                      <wps:spPr>
                        <a:xfrm>
                          <a:off x="0" y="0"/>
                          <a:ext cx="2434281" cy="629920"/>
                        </a:xfrm>
                        <a:prstGeom prst="rect">
                          <a:avLst/>
                        </a:prstGeom>
                        <a:solidFill>
                          <a:prstClr val="white"/>
                        </a:solidFill>
                        <a:ln>
                          <a:noFill/>
                        </a:ln>
                      </wps:spPr>
                      <wps:txbx>
                        <w:txbxContent>
                          <w:p w14:paraId="7F732F5F" w14:textId="01558973" w:rsidR="000C51A8" w:rsidRPr="008D403B" w:rsidRDefault="00266EAA" w:rsidP="000C51A8">
                            <w:pPr>
                              <w:pStyle w:val="Descripcin"/>
                              <w:rPr>
                                <w:rFonts w:ascii="Garamond" w:hAnsi="Garamond"/>
                                <w:i w:val="0"/>
                                <w:color w:val="000000" w:themeColor="text1"/>
                                <w:sz w:val="22"/>
                                <w:szCs w:val="22"/>
                                <w:lang w:val="en-GB"/>
                              </w:rPr>
                            </w:pPr>
                            <w:r w:rsidRPr="00884AC2">
                              <w:rPr>
                                <w:rFonts w:ascii="Garamond" w:hAnsi="Garamond"/>
                                <w:i w:val="0"/>
                                <w:color w:val="000000" w:themeColor="text1"/>
                                <w:sz w:val="22"/>
                                <w:szCs w:val="22"/>
                              </w:rPr>
                              <w:t>Figure</w:t>
                            </w:r>
                            <w:r w:rsidR="000C51A8" w:rsidRPr="00884AC2">
                              <w:rPr>
                                <w:rFonts w:ascii="Garamond" w:hAnsi="Garamond"/>
                                <w:i w:val="0"/>
                                <w:color w:val="000000" w:themeColor="text1"/>
                                <w:sz w:val="22"/>
                                <w:szCs w:val="22"/>
                              </w:rPr>
                              <w:t xml:space="preserve"> 1. Voltammograms of Pt (211) in CO</w:t>
                            </w:r>
                            <w:r w:rsidR="000C51A8" w:rsidRPr="00884AC2">
                              <w:rPr>
                                <w:rFonts w:ascii="Garamond" w:hAnsi="Garamond"/>
                                <w:i w:val="0"/>
                                <w:color w:val="000000" w:themeColor="text1"/>
                                <w:sz w:val="22"/>
                                <w:szCs w:val="22"/>
                                <w:vertAlign w:val="subscript"/>
                              </w:rPr>
                              <w:t>2</w:t>
                            </w:r>
                            <w:r w:rsidR="000C51A8" w:rsidRPr="00884AC2">
                              <w:rPr>
                                <w:rFonts w:ascii="Garamond" w:hAnsi="Garamond"/>
                                <w:i w:val="0"/>
                                <w:color w:val="000000" w:themeColor="text1"/>
                                <w:sz w:val="22"/>
                                <w:szCs w:val="22"/>
                              </w:rPr>
                              <w:t xml:space="preserve"> saturated </w:t>
                            </w:r>
                            <w:r w:rsidR="008D403B" w:rsidRPr="00884AC2">
                              <w:rPr>
                                <w:rFonts w:ascii="Garamond" w:hAnsi="Garamond"/>
                                <w:i w:val="0"/>
                                <w:color w:val="000000" w:themeColor="text1"/>
                                <w:sz w:val="22"/>
                                <w:szCs w:val="22"/>
                              </w:rPr>
                              <w:t>0</w:t>
                            </w:r>
                            <w:r w:rsidR="008D403B">
                              <w:rPr>
                                <w:rFonts w:ascii="Garamond" w:hAnsi="Garamond"/>
                                <w:i w:val="0"/>
                                <w:color w:val="000000" w:themeColor="text1"/>
                                <w:sz w:val="22"/>
                                <w:szCs w:val="22"/>
                              </w:rPr>
                              <w:t>.</w:t>
                            </w:r>
                            <w:r w:rsidR="008D403B" w:rsidRPr="00884AC2">
                              <w:rPr>
                                <w:rFonts w:ascii="Garamond" w:hAnsi="Garamond"/>
                                <w:i w:val="0"/>
                                <w:color w:val="000000" w:themeColor="text1"/>
                                <w:sz w:val="22"/>
                                <w:szCs w:val="22"/>
                              </w:rPr>
                              <w:t xml:space="preserve">3M </w:t>
                            </w:r>
                            <w:r w:rsidR="000C51A8" w:rsidRPr="00884AC2">
                              <w:rPr>
                                <w:rFonts w:ascii="Garamond" w:hAnsi="Garamond"/>
                                <w:i w:val="0"/>
                                <w:color w:val="000000" w:themeColor="text1"/>
                                <w:sz w:val="22"/>
                                <w:szCs w:val="22"/>
                              </w:rPr>
                              <w:t>HClO</w:t>
                            </w:r>
                            <w:r w:rsidR="000C51A8" w:rsidRPr="00884AC2">
                              <w:rPr>
                                <w:rFonts w:ascii="Garamond" w:hAnsi="Garamond"/>
                                <w:i w:val="0"/>
                                <w:color w:val="000000" w:themeColor="text1"/>
                                <w:sz w:val="22"/>
                                <w:szCs w:val="22"/>
                                <w:vertAlign w:val="subscript"/>
                              </w:rPr>
                              <w:t>4</w:t>
                            </w:r>
                            <w:r w:rsidR="000C51A8" w:rsidRPr="00884AC2">
                              <w:rPr>
                                <w:rFonts w:ascii="Garamond" w:hAnsi="Garamond"/>
                                <w:i w:val="0"/>
                                <w:color w:val="000000" w:themeColor="text1"/>
                                <w:sz w:val="22"/>
                                <w:szCs w:val="22"/>
                              </w:rPr>
                              <w:t xml:space="preserve"> with and without Na</w:t>
                            </w:r>
                            <w:r w:rsidR="008D403B">
                              <w:rPr>
                                <w:rFonts w:ascii="Garamond" w:hAnsi="Garamond"/>
                                <w:i w:val="0"/>
                                <w:color w:val="000000" w:themeColor="text1"/>
                                <w:sz w:val="22"/>
                                <w:szCs w:val="22"/>
                                <w:vertAlign w:val="superscript"/>
                              </w:rPr>
                              <w:t>+</w:t>
                            </w:r>
                            <w:r w:rsidR="000C51A8" w:rsidRPr="00884AC2">
                              <w:rPr>
                                <w:rFonts w:ascii="Garamond" w:hAnsi="Garamond"/>
                                <w:i w:val="0"/>
                                <w:color w:val="000000" w:themeColor="text1"/>
                                <w:sz w:val="22"/>
                                <w:szCs w:val="22"/>
                              </w:rPr>
                              <w:t xml:space="preserve"> while holding the potential 60s at 0</w:t>
                            </w:r>
                            <w:r w:rsidR="008D403B">
                              <w:rPr>
                                <w:rFonts w:ascii="Garamond" w:hAnsi="Garamond"/>
                                <w:i w:val="0"/>
                                <w:color w:val="000000" w:themeColor="text1"/>
                                <w:sz w:val="22"/>
                                <w:szCs w:val="22"/>
                              </w:rPr>
                              <w:t>.</w:t>
                            </w:r>
                            <w:r w:rsidR="000C51A8" w:rsidRPr="00884AC2">
                              <w:rPr>
                                <w:rFonts w:ascii="Garamond" w:hAnsi="Garamond"/>
                                <w:i w:val="0"/>
                                <w:color w:val="000000" w:themeColor="text1"/>
                                <w:sz w:val="22"/>
                                <w:szCs w:val="22"/>
                              </w:rPr>
                              <w:t>1V. Scanning rate</w:t>
                            </w:r>
                            <w:r w:rsidR="008D403B">
                              <w:rPr>
                                <w:rFonts w:ascii="Garamond" w:hAnsi="Garamond"/>
                                <w:i w:val="0"/>
                                <w:color w:val="000000" w:themeColor="text1"/>
                                <w:sz w:val="22"/>
                                <w:szCs w:val="22"/>
                              </w:rPr>
                              <w:t xml:space="preserve">: </w:t>
                            </w:r>
                            <w:r w:rsidR="000C51A8" w:rsidRPr="00884AC2">
                              <w:rPr>
                                <w:rFonts w:ascii="Garamond" w:hAnsi="Garamond"/>
                                <w:i w:val="0"/>
                                <w:color w:val="000000" w:themeColor="text1"/>
                                <w:sz w:val="22"/>
                                <w:szCs w:val="22"/>
                              </w:rPr>
                              <w:t>0</w:t>
                            </w:r>
                            <w:r w:rsidR="008D403B">
                              <w:rPr>
                                <w:rFonts w:ascii="Garamond" w:hAnsi="Garamond"/>
                                <w:i w:val="0"/>
                                <w:color w:val="000000" w:themeColor="text1"/>
                                <w:sz w:val="22"/>
                                <w:szCs w:val="22"/>
                              </w:rPr>
                              <w:t>.</w:t>
                            </w:r>
                            <w:r w:rsidR="000C51A8" w:rsidRPr="00884AC2">
                              <w:rPr>
                                <w:rFonts w:ascii="Garamond" w:hAnsi="Garamond"/>
                                <w:i w:val="0"/>
                                <w:color w:val="000000" w:themeColor="text1"/>
                                <w:sz w:val="22"/>
                                <w:szCs w:val="22"/>
                              </w:rPr>
                              <w:t>05 mV</w:t>
                            </w:r>
                            <w:r w:rsidR="008D403B">
                              <w:rPr>
                                <w:rFonts w:ascii="Garamond" w:hAnsi="Garamond"/>
                                <w:i w:val="0"/>
                                <w:color w:val="000000" w:themeColor="text1"/>
                                <w:sz w:val="22"/>
                                <w:szCs w:val="22"/>
                              </w:rPr>
                              <w:t xml:space="preserve"> </w:t>
                            </w:r>
                            <w:r w:rsidR="000C51A8" w:rsidRPr="00884AC2">
                              <w:rPr>
                                <w:rFonts w:ascii="Garamond" w:hAnsi="Garamond"/>
                                <w:i w:val="0"/>
                                <w:color w:val="000000" w:themeColor="text1"/>
                                <w:sz w:val="22"/>
                                <w:szCs w:val="22"/>
                              </w:rPr>
                              <w:t>s</w:t>
                            </w:r>
                            <w:r w:rsidR="000C51A8" w:rsidRPr="00884AC2">
                              <w:rPr>
                                <w:rFonts w:ascii="Garamond" w:hAnsi="Garamond"/>
                                <w:i w:val="0"/>
                                <w:color w:val="000000" w:themeColor="text1"/>
                                <w:sz w:val="22"/>
                                <w:szCs w:val="22"/>
                                <w:vertAlign w:val="superscript"/>
                              </w:rPr>
                              <w:t>-1</w:t>
                            </w:r>
                            <w:r w:rsidR="008D403B">
                              <w:rPr>
                                <w:rFonts w:ascii="Garamond" w:hAnsi="Garamond"/>
                                <w:i w:val="0"/>
                                <w:color w:val="000000" w:themeColor="text1"/>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E4157" id="_x0000_t202" coordsize="21600,21600" o:spt="202" path="m,l,21600r21600,l21600,xe">
                <v:stroke joinstyle="miter"/>
                <v:path gradientshapeok="t" o:connecttype="rect"/>
              </v:shapetype>
              <v:shape id="Cuadro de texto 2" o:spid="_x0000_s1026" type="#_x0000_t202" style="position:absolute;left:0;text-align:left;margin-left:0;margin-top:147.95pt;width:191.65pt;height:49.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" stroked="f">
                <v:textbox inset="0,0,0,0">
                  <w:txbxContent>
                    <w:p w14:paraId="7F732F5F" w14:textId="01558973" w:rsidR="000C51A8" w:rsidRPr="008D403B" w:rsidRDefault="00266EAA" w:rsidP="000C51A8">
                      <w:pPr>
                        <w:pStyle w:val="Descripcin"/>
                        <w:rPr>
                          <w:rFonts w:ascii="Garamond" w:hAnsi="Garamond"/>
                          <w:i w:val="0"/>
                          <w:color w:val="000000" w:themeColor="text1"/>
                          <w:sz w:val="22"/>
                          <w:szCs w:val="22"/>
                          <w:lang w:val="en-GB"/>
                        </w:rPr>
                      </w:pPr>
                      <w:r w:rsidRPr="00884AC2">
                        <w:rPr>
                          <w:rFonts w:ascii="Garamond" w:hAnsi="Garamond"/>
                          <w:i w:val="0"/>
                          <w:color w:val="000000" w:themeColor="text1"/>
                          <w:sz w:val="22"/>
                          <w:szCs w:val="22"/>
                        </w:rPr>
                        <w:t>Figure</w:t>
                      </w:r>
                      <w:r w:rsidR="000C51A8" w:rsidRPr="00884AC2">
                        <w:rPr>
                          <w:rFonts w:ascii="Garamond" w:hAnsi="Garamond"/>
                          <w:i w:val="0"/>
                          <w:color w:val="000000" w:themeColor="text1"/>
                          <w:sz w:val="22"/>
                          <w:szCs w:val="22"/>
                        </w:rPr>
                        <w:t xml:space="preserve"> 1. Voltammograms of Pt (211) in CO</w:t>
                      </w:r>
                      <w:r w:rsidR="000C51A8" w:rsidRPr="00884AC2">
                        <w:rPr>
                          <w:rFonts w:ascii="Garamond" w:hAnsi="Garamond"/>
                          <w:i w:val="0"/>
                          <w:color w:val="000000" w:themeColor="text1"/>
                          <w:sz w:val="22"/>
                          <w:szCs w:val="22"/>
                          <w:vertAlign w:val="subscript"/>
                        </w:rPr>
                        <w:t>2</w:t>
                      </w:r>
                      <w:r w:rsidR="000C51A8" w:rsidRPr="00884AC2">
                        <w:rPr>
                          <w:rFonts w:ascii="Garamond" w:hAnsi="Garamond"/>
                          <w:i w:val="0"/>
                          <w:color w:val="000000" w:themeColor="text1"/>
                          <w:sz w:val="22"/>
                          <w:szCs w:val="22"/>
                        </w:rPr>
                        <w:t xml:space="preserve"> saturated </w:t>
                      </w:r>
                      <w:r w:rsidR="008D403B" w:rsidRPr="00884AC2">
                        <w:rPr>
                          <w:rFonts w:ascii="Garamond" w:hAnsi="Garamond"/>
                          <w:i w:val="0"/>
                          <w:color w:val="000000" w:themeColor="text1"/>
                          <w:sz w:val="22"/>
                          <w:szCs w:val="22"/>
                        </w:rPr>
                        <w:t>0</w:t>
                      </w:r>
                      <w:r w:rsidR="008D403B">
                        <w:rPr>
                          <w:rFonts w:ascii="Garamond" w:hAnsi="Garamond"/>
                          <w:i w:val="0"/>
                          <w:color w:val="000000" w:themeColor="text1"/>
                          <w:sz w:val="22"/>
                          <w:szCs w:val="22"/>
                        </w:rPr>
                        <w:t>.</w:t>
                      </w:r>
                      <w:r w:rsidR="008D403B" w:rsidRPr="00884AC2">
                        <w:rPr>
                          <w:rFonts w:ascii="Garamond" w:hAnsi="Garamond"/>
                          <w:i w:val="0"/>
                          <w:color w:val="000000" w:themeColor="text1"/>
                          <w:sz w:val="22"/>
                          <w:szCs w:val="22"/>
                        </w:rPr>
                        <w:t xml:space="preserve">3M </w:t>
                      </w:r>
                      <w:r w:rsidR="000C51A8" w:rsidRPr="00884AC2">
                        <w:rPr>
                          <w:rFonts w:ascii="Garamond" w:hAnsi="Garamond"/>
                          <w:i w:val="0"/>
                          <w:color w:val="000000" w:themeColor="text1"/>
                          <w:sz w:val="22"/>
                          <w:szCs w:val="22"/>
                        </w:rPr>
                        <w:t>HClO</w:t>
                      </w:r>
                      <w:r w:rsidR="000C51A8" w:rsidRPr="00884AC2">
                        <w:rPr>
                          <w:rFonts w:ascii="Garamond" w:hAnsi="Garamond"/>
                          <w:i w:val="0"/>
                          <w:color w:val="000000" w:themeColor="text1"/>
                          <w:sz w:val="22"/>
                          <w:szCs w:val="22"/>
                          <w:vertAlign w:val="subscript"/>
                        </w:rPr>
                        <w:t>4</w:t>
                      </w:r>
                      <w:r w:rsidR="000C51A8" w:rsidRPr="00884AC2">
                        <w:rPr>
                          <w:rFonts w:ascii="Garamond" w:hAnsi="Garamond"/>
                          <w:i w:val="0"/>
                          <w:color w:val="000000" w:themeColor="text1"/>
                          <w:sz w:val="22"/>
                          <w:szCs w:val="22"/>
                        </w:rPr>
                        <w:t xml:space="preserve"> with and without Na</w:t>
                      </w:r>
                      <w:r w:rsidR="008D403B">
                        <w:rPr>
                          <w:rFonts w:ascii="Garamond" w:hAnsi="Garamond"/>
                          <w:i w:val="0"/>
                          <w:color w:val="000000" w:themeColor="text1"/>
                          <w:sz w:val="22"/>
                          <w:szCs w:val="22"/>
                          <w:vertAlign w:val="superscript"/>
                        </w:rPr>
                        <w:t>+</w:t>
                      </w:r>
                      <w:r w:rsidR="000C51A8" w:rsidRPr="00884AC2">
                        <w:rPr>
                          <w:rFonts w:ascii="Garamond" w:hAnsi="Garamond"/>
                          <w:i w:val="0"/>
                          <w:color w:val="000000" w:themeColor="text1"/>
                          <w:sz w:val="22"/>
                          <w:szCs w:val="22"/>
                        </w:rPr>
                        <w:t xml:space="preserve"> while holding the potential 60s at 0</w:t>
                      </w:r>
                      <w:r w:rsidR="008D403B">
                        <w:rPr>
                          <w:rFonts w:ascii="Garamond" w:hAnsi="Garamond"/>
                          <w:i w:val="0"/>
                          <w:color w:val="000000" w:themeColor="text1"/>
                          <w:sz w:val="22"/>
                          <w:szCs w:val="22"/>
                        </w:rPr>
                        <w:t>.</w:t>
                      </w:r>
                      <w:r w:rsidR="000C51A8" w:rsidRPr="00884AC2">
                        <w:rPr>
                          <w:rFonts w:ascii="Garamond" w:hAnsi="Garamond"/>
                          <w:i w:val="0"/>
                          <w:color w:val="000000" w:themeColor="text1"/>
                          <w:sz w:val="22"/>
                          <w:szCs w:val="22"/>
                        </w:rPr>
                        <w:t>1V. Scanning rate</w:t>
                      </w:r>
                      <w:r w:rsidR="008D403B">
                        <w:rPr>
                          <w:rFonts w:ascii="Garamond" w:hAnsi="Garamond"/>
                          <w:i w:val="0"/>
                          <w:color w:val="000000" w:themeColor="text1"/>
                          <w:sz w:val="22"/>
                          <w:szCs w:val="22"/>
                        </w:rPr>
                        <w:t xml:space="preserve">: </w:t>
                      </w:r>
                      <w:r w:rsidR="000C51A8" w:rsidRPr="00884AC2">
                        <w:rPr>
                          <w:rFonts w:ascii="Garamond" w:hAnsi="Garamond"/>
                          <w:i w:val="0"/>
                          <w:color w:val="000000" w:themeColor="text1"/>
                          <w:sz w:val="22"/>
                          <w:szCs w:val="22"/>
                        </w:rPr>
                        <w:t>0</w:t>
                      </w:r>
                      <w:r w:rsidR="008D403B">
                        <w:rPr>
                          <w:rFonts w:ascii="Garamond" w:hAnsi="Garamond"/>
                          <w:i w:val="0"/>
                          <w:color w:val="000000" w:themeColor="text1"/>
                          <w:sz w:val="22"/>
                          <w:szCs w:val="22"/>
                        </w:rPr>
                        <w:t>.</w:t>
                      </w:r>
                      <w:r w:rsidR="000C51A8" w:rsidRPr="00884AC2">
                        <w:rPr>
                          <w:rFonts w:ascii="Garamond" w:hAnsi="Garamond"/>
                          <w:i w:val="0"/>
                          <w:color w:val="000000" w:themeColor="text1"/>
                          <w:sz w:val="22"/>
                          <w:szCs w:val="22"/>
                        </w:rPr>
                        <w:t>05 mV</w:t>
                      </w:r>
                      <w:r w:rsidR="008D403B">
                        <w:rPr>
                          <w:rFonts w:ascii="Garamond" w:hAnsi="Garamond"/>
                          <w:i w:val="0"/>
                          <w:color w:val="000000" w:themeColor="text1"/>
                          <w:sz w:val="22"/>
                          <w:szCs w:val="22"/>
                        </w:rPr>
                        <w:t xml:space="preserve"> </w:t>
                      </w:r>
                      <w:r w:rsidR="000C51A8" w:rsidRPr="00884AC2">
                        <w:rPr>
                          <w:rFonts w:ascii="Garamond" w:hAnsi="Garamond"/>
                          <w:i w:val="0"/>
                          <w:color w:val="000000" w:themeColor="text1"/>
                          <w:sz w:val="22"/>
                          <w:szCs w:val="22"/>
                        </w:rPr>
                        <w:t>s</w:t>
                      </w:r>
                      <w:r w:rsidR="000C51A8" w:rsidRPr="00884AC2">
                        <w:rPr>
                          <w:rFonts w:ascii="Garamond" w:hAnsi="Garamond"/>
                          <w:i w:val="0"/>
                          <w:color w:val="000000" w:themeColor="text1"/>
                          <w:sz w:val="22"/>
                          <w:szCs w:val="22"/>
                          <w:vertAlign w:val="superscript"/>
                        </w:rPr>
                        <w:t>-1</w:t>
                      </w:r>
                      <w:r w:rsidR="008D403B">
                        <w:rPr>
                          <w:rFonts w:ascii="Garamond" w:hAnsi="Garamond"/>
                          <w:i w:val="0"/>
                          <w:color w:val="000000" w:themeColor="text1"/>
                          <w:sz w:val="22"/>
                          <w:szCs w:val="22"/>
                        </w:rPr>
                        <w:t>.</w:t>
                      </w:r>
                    </w:p>
                  </w:txbxContent>
                </v:textbox>
                <w10:wrap type="square" anchorx="margin"/>
              </v:shape>
            </w:pict>
          </mc:Fallback>
        </mc:AlternateContent>
      </w:r>
      <w:r>
        <w:rPr>
          <w:noProof/>
          <w:lang w:val="es-ES" w:eastAsia="es-ES"/>
        </w:rPr>
        <w:drawing>
          <wp:anchor distT="0" distB="0" distL="114300" distR="114300" simplePos="0" relativeHeight="251658240" behindDoc="0" locked="0" layoutInCell="1" allowOverlap="1" wp14:anchorId="5C903C1D" wp14:editId="257FD0EB">
            <wp:simplePos x="0" y="0"/>
            <wp:positionH relativeFrom="margin">
              <wp:posOffset>76835</wp:posOffset>
            </wp:positionH>
            <wp:positionV relativeFrom="paragraph">
              <wp:posOffset>635</wp:posOffset>
            </wp:positionV>
            <wp:extent cx="2372360" cy="1914525"/>
            <wp:effectExtent l="0" t="0" r="8890" b="9525"/>
            <wp:wrapSquare wrapText="bothSides"/>
            <wp:docPr id="1331093630" name="Imagen 133109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3125" r="2092"/>
                    <a:stretch/>
                  </pic:blipFill>
                  <pic:spPr bwMode="auto">
                    <a:xfrm>
                      <a:off x="0" y="0"/>
                      <a:ext cx="2372360" cy="191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78FF" w:rsidRPr="495BAC12">
        <w:rPr>
          <w:rFonts w:ascii="Garamond" w:hAnsi="Garamond"/>
          <w:sz w:val="24"/>
          <w:szCs w:val="24"/>
          <w:lang w:val="en-GB"/>
        </w:rPr>
        <w:t xml:space="preserve">However, the Pt electrode do not share these problems. The </w:t>
      </w:r>
      <w:r w:rsidR="006C5264" w:rsidRPr="495BAC12">
        <w:rPr>
          <w:rFonts w:ascii="Garamond" w:hAnsi="Garamond"/>
          <w:sz w:val="24"/>
          <w:szCs w:val="24"/>
          <w:lang w:val="en-GB"/>
        </w:rPr>
        <w:t>hydrogen adsorption on Pt enhances the reduction of CO</w:t>
      </w:r>
      <w:r w:rsidR="006C5264" w:rsidRPr="495BAC12">
        <w:rPr>
          <w:rFonts w:ascii="Garamond" w:hAnsi="Garamond"/>
          <w:sz w:val="24"/>
          <w:szCs w:val="24"/>
          <w:vertAlign w:val="subscript"/>
          <w:lang w:val="en-GB"/>
        </w:rPr>
        <w:t>2</w:t>
      </w:r>
      <w:r w:rsidR="006C5264" w:rsidRPr="495BAC12">
        <w:rPr>
          <w:rFonts w:ascii="Garamond" w:hAnsi="Garamond"/>
          <w:sz w:val="24"/>
          <w:szCs w:val="24"/>
          <w:lang w:val="en-GB"/>
        </w:rPr>
        <w:t xml:space="preserve"> to CO at potentials more positive than the HER region. Moreover, the CO2RR has been found to be a sensitive structure reaction by exploring </w:t>
      </w:r>
      <w:r w:rsidR="00E03711" w:rsidRPr="495BAC12">
        <w:rPr>
          <w:rFonts w:ascii="Garamond" w:hAnsi="Garamond"/>
          <w:sz w:val="24"/>
          <w:szCs w:val="24"/>
          <w:lang w:val="en-GB"/>
        </w:rPr>
        <w:t>the influence of the Pt surface structure reaction</w:t>
      </w:r>
      <w:r w:rsidR="001D6E73" w:rsidRPr="495BAC12">
        <w:rPr>
          <w:rFonts w:ascii="Garamond" w:hAnsi="Garamond"/>
          <w:sz w:val="24"/>
          <w:szCs w:val="24"/>
          <w:lang w:val="en-GB"/>
        </w:rPr>
        <w:t xml:space="preserve"> at pH=1</w:t>
      </w:r>
      <w:r w:rsidR="00A73AF1" w:rsidRPr="495BAC12">
        <w:rPr>
          <w:rFonts w:ascii="Garamond" w:hAnsi="Garamond"/>
          <w:sz w:val="24"/>
          <w:szCs w:val="24"/>
          <w:lang w:val="en-GB"/>
        </w:rPr>
        <w:fldChar w:fldCharType="begin" w:fldLock="1"/>
      </w:r>
      <w:r w:rsidR="00A73AF1" w:rsidRPr="495BAC12">
        <w:rPr>
          <w:rFonts w:ascii="Garamond" w:hAnsi="Garamond"/>
          <w:sz w:val="24"/>
          <w:szCs w:val="24"/>
          <w:lang w:val="en-GB"/>
        </w:rPr>
        <w:instrText>ADDIN CSL_CITATION {"citationItems":[{"id":"ITEM-1","itemData":{"DOI":"10.1016/0013-4686(95)00418-1","ISSN":"00134686","abstract":"CO2 reduction was studied by voltammetry with Pt single crystal electrodes of Pt(S)-[n(111) x (111)] at constant potentials. The rate of CO formation depends on crystal orientation as below; Pt(110) &gt; Pt(331) &gt; Pt(221) &gt; Pt(332) &gt; Pt(997) &gt; Pt(111). The initial rates of the CO formation plotted against the amount of adsorbed hydrogen (Q0H) gave a maximum of around Q0H = 40μC cm-2 on the electrodes with high step density, Pt(110), Pt(331) and Pt(221), whereas the electrodes with low step density, Pt(332), Pt(997) and Pt(111), showed monotonous increase with Q0H. The activity series shown above was well correlated with the step density of crystal orientations except Pt(110)(1 x 2). The correlation and the anomalously high activity of Pt(110) are discussed with regard to the adsorption sites for hydrogen atoms with reference to UHV works in literatures. Reduction of CO2 proceeds with adsorbed hydrogen regenerated on the adsorption sites. Copyright © 1996 Elsevier Science Ltd.","author":[{"dropping-particle":"","family":"Hoshi","given":"Nagahiro","non-dropping-particle":"","parse-names":false,"suffix":""},{"dropping-particle":"","family":"Suzuki","given":"Toshitake","non-dropping-particle":"","parse-names":false,"suffix":""},{"dropping-particle":"","family":"Hori","given":"Yoshio","non-dropping-particle":"","parse-names":false,"suffix":""}],"container-title":"Electrochimica Acta","id":"ITEM-1","issue":"10","issued":{"date-parts":[["1996"]]},"page":"1647-1653","title":"Step density dependence of CO2 reduction rate on Pt(S)-[n(111) x (111)] single crystal electrodes","type":"article-journal","volume":"41"},"uris":["http://www.mendeley.com/documents/?uuid=e81a33c7-46d5-4976-a515-53e9f7a27c4a"]}],"mendeley":{"formattedCitation":"&lt;sup&gt;1&lt;/sup&gt;","plainTextFormattedCitation":"1","previouslyFormattedCitation":"&lt;sup&gt;1&lt;/sup&gt;"},"properties":{"noteIndex":0},"schema":"https://github.com/citation-style-language/schema/raw/master/csl-citation.json"}</w:instrText>
      </w:r>
      <w:r w:rsidR="00A73AF1" w:rsidRPr="495BAC12">
        <w:rPr>
          <w:rFonts w:ascii="Garamond" w:hAnsi="Garamond"/>
          <w:sz w:val="24"/>
          <w:szCs w:val="24"/>
          <w:lang w:val="en-GB"/>
        </w:rPr>
        <w:fldChar w:fldCharType="separate"/>
      </w:r>
      <w:r w:rsidR="00B77FD1" w:rsidRPr="495BAC12">
        <w:rPr>
          <w:rFonts w:ascii="Garamond" w:hAnsi="Garamond"/>
          <w:noProof/>
          <w:sz w:val="24"/>
          <w:szCs w:val="24"/>
          <w:vertAlign w:val="superscript"/>
          <w:lang w:val="en-GB"/>
        </w:rPr>
        <w:t>1</w:t>
      </w:r>
      <w:r w:rsidR="00A73AF1" w:rsidRPr="495BAC12">
        <w:rPr>
          <w:rFonts w:ascii="Garamond" w:hAnsi="Garamond"/>
          <w:sz w:val="24"/>
          <w:szCs w:val="24"/>
          <w:lang w:val="en-GB"/>
        </w:rPr>
        <w:fldChar w:fldCharType="end"/>
      </w:r>
      <w:r w:rsidR="495BAC12" w:rsidRPr="495BAC12">
        <w:rPr>
          <w:rFonts w:ascii="Garamond" w:hAnsi="Garamond"/>
          <w:sz w:val="24"/>
          <w:szCs w:val="24"/>
          <w:lang w:val="en-GB"/>
        </w:rPr>
        <w:t>. However, electrolyte effects on the CO2RR on Pt have been never explored. Electrolytes also play an important chemical role in the CO2RR and influence of the electrolyte in the activity towards the reaction is shown for other metal electrodes</w:t>
      </w:r>
      <w:r w:rsidR="00A73AF1" w:rsidRPr="495BAC12">
        <w:rPr>
          <w:rFonts w:ascii="Garamond" w:hAnsi="Garamond"/>
          <w:sz w:val="24"/>
          <w:szCs w:val="24"/>
          <w:lang w:val="en-GB"/>
        </w:rPr>
        <w:fldChar w:fldCharType="begin" w:fldLock="1"/>
      </w:r>
      <w:r w:rsidR="00A73AF1" w:rsidRPr="495BAC12">
        <w:rPr>
          <w:rFonts w:ascii="Garamond" w:hAnsi="Garamond"/>
          <w:sz w:val="24"/>
          <w:szCs w:val="24"/>
          <w:lang w:val="en-GB"/>
        </w:rPr>
        <w:instrText>ADDIN CSL_CITATION {"citationItems":[{"id":"ITEM-1","itemData":{"DOI":"10.1021/jacs.6b07612","ISSN":"15205126","PMID":"27626299","abstract":"Electrolyte cation size is known to influence the electrochemical reduction of CO2 over metals; however, a satisfactory explanation for this phenomenon has not been developed. We report here that these effects can be attributed to a previously unrecognized consequence of cation hydrolysis occurring in the vicinity of the cathode. With increasing cation size, the pKa for cation hydrolysis decreases and is sufficiently low for hydrated K+, Rb+, and Cs+ to serve as buffering agents. Buffering lowers the pH near the cathode, leading to an increase in the local concentration of dissolved CO2. The consequences of these changes are an increase in cathode activity, a decrease in Faradaic efficiencies for H2 and CH4, and an increase in Faradaic efficiencies for CO, C2H4, and C2H5OH, in full agreement with experimental observations for CO2 reduction over Ag and Cu.","author":[{"dropping-particle":"","family":"Singh","given":"Meenesh R.","non-dropping-particle":"","parse-names":false,"suffix":""},{"dropping-particle":"","family":"Kwon","given":"Youngkook","non-dropping-particle":"","parse-names":false,"suffix":""},{"dropping-particle":"","family":"Lum","given":"Yanwei","non-dropping-particle":"","parse-names":false,"suffix":""},{"dropping-particle":"","family":"Ager","given":"Joel W.","non-dropping-particle":"","parse-names":false,"suffix":""},{"dropping-particle":"","family":"Bell","given":"Alexis T.","non-dropping-particle":"","parse-names":false,"suffix":""}],"container-title":"Journal of the American Chemical Society","id":"ITEM-1","issue":"39","issued":{"date-parts":[["2016"]]},"page":"13006-13012","title":"Hydrolysis of Electrolyte Cations Enhances the Electrochemical Reduction of CO2 over Ag and Cu","type":"article-journal","volume":"138"},"uris":["http://www.mendeley.com/documents/?uuid=23b8b556-7a17-4d0e-8302-5aef4dbe5987"]}],"mendeley":{"formattedCitation":"&lt;sup&gt;2&lt;/sup&gt;","plainTextFormattedCitation":"2","previouslyFormattedCitation":"&lt;sup&gt;2&lt;/sup&gt;"},"properties":{"noteIndex":0},"schema":"https://github.com/citation-style-language/schema/raw/master/csl-citation.json"}</w:instrText>
      </w:r>
      <w:r w:rsidR="00A73AF1" w:rsidRPr="495BAC12">
        <w:rPr>
          <w:rFonts w:ascii="Garamond" w:hAnsi="Garamond"/>
          <w:sz w:val="24"/>
          <w:szCs w:val="24"/>
          <w:lang w:val="en-GB"/>
        </w:rPr>
        <w:fldChar w:fldCharType="separate"/>
      </w:r>
      <w:r w:rsidR="00B77FD1" w:rsidRPr="495BAC12">
        <w:rPr>
          <w:rFonts w:ascii="Garamond" w:hAnsi="Garamond"/>
          <w:noProof/>
          <w:sz w:val="24"/>
          <w:szCs w:val="24"/>
          <w:vertAlign w:val="superscript"/>
          <w:lang w:val="en-GB"/>
        </w:rPr>
        <w:t>2</w:t>
      </w:r>
      <w:r w:rsidR="00A73AF1" w:rsidRPr="495BAC12">
        <w:rPr>
          <w:rFonts w:ascii="Garamond" w:hAnsi="Garamond"/>
          <w:sz w:val="24"/>
          <w:szCs w:val="24"/>
          <w:lang w:val="en-GB"/>
        </w:rPr>
        <w:fldChar w:fldCharType="end"/>
      </w:r>
      <w:r w:rsidR="495BAC12" w:rsidRPr="495BAC12">
        <w:rPr>
          <w:rFonts w:ascii="Garamond" w:hAnsi="Garamond"/>
          <w:sz w:val="24"/>
          <w:szCs w:val="24"/>
          <w:lang w:val="en-GB"/>
        </w:rPr>
        <w:t>. Thus, understanding mechanistically the electrolyte effect, by the introduction of different cations on changing the pH of the solution, would help improving the activity and selectivity of CO2RR via efficient electrolyte design. Additionally, the study of the activation energy for the adsorption of (bi)carbonate and its dependence with the Pt surface structure is a fundamental parameter to understand the CO2RR on Pt</w:t>
      </w:r>
      <w:r w:rsidR="00A73AF1" w:rsidRPr="495BAC12">
        <w:rPr>
          <w:rFonts w:ascii="Garamond" w:hAnsi="Garamond"/>
          <w:sz w:val="24"/>
          <w:szCs w:val="24"/>
          <w:lang w:val="en-GB"/>
        </w:rPr>
        <w:fldChar w:fldCharType="begin" w:fldLock="1"/>
      </w:r>
      <w:r w:rsidR="00A73AF1" w:rsidRPr="495BAC12">
        <w:rPr>
          <w:rFonts w:ascii="Garamond" w:hAnsi="Garamond"/>
          <w:sz w:val="24"/>
          <w:szCs w:val="24"/>
          <w:lang w:val="en-GB"/>
        </w:rPr>
        <w:instrText>ADDIN CSL_CITATION {"citationItems":[{"id":"ITEM-1","itemData":{"DOI":"10.1021/acsami.0c13158","ISSN":"19448252","PMID":"32830952","abstract":"The hydrogen evolution reaction is one of the most studied processes in electrochemistry, and platinum is by far the best catalyst for this reaction. Despite the importance of this reaction on platinum, detailed and accurate kinetic measurements of the steps that lead to the main reaction are still lacking, particularly because of the fast rate of the reaction. Hydrogen adsorption on Pt(111) has been taken as a benchmark system in a large number of computational studies, but reliable experimental data to compare with the computational studies is very scarce. To gain further knowledge on this matter, a temperature study of the hydrogen adsorption reaction has been carried out to obtain kinetic information for this process on Pt(111) in alkaline solution. This was achieved by measuring electrochemical impedance spectra and cyclic voltammograms in the range of 278 ≤ T ≤ 318 (K) to obtain the corresponding surface coverage by adsorbed species and the faradaic charge transfer resistance. From this data, the standard rate constant has been extracted with a kinetic model assuming a Frumkin-type isotherm, resulting in values of 2.60 × 10-7 ≤ k ≤ 1.68 × 10-6 (s-1). The Arrehnius plot gives an activation energy of 32 kJ mol-1. Comparisons are made with values calculated by computational methods and reported values for the overall HER, giving a reference frame to support future studies on hydrogen catalysis.","author":[{"dropping-particle":"","family":"Botello","given":"Luis E.","non-dropping-particle":"","parse-names":false,"suffix":""},{"dropping-particle":"","family":"Feliu","given":"Juan M.","non-dropping-particle":"","parse-names":false,"suffix":""},{"dropping-particle":"","family":"Climent","given":"Victor","non-dropping-particle":"","parse-names":false,"suffix":""}],"container-title":"ACS Applied Materials and Interfaces","id":"ITEM-1","issue":"38","issued":{"date-parts":[["2020"]]},"page":"42911-42917","title":"Activation Energy of Hydrogen Adsorption on Pt(111) in Alkaline Media: An Impedance Spectroscopy Study at Variable Temperatures","type":"article-journal","volume":"12"},"uris":["http://www.mendeley.com/documents/?uuid=bd1029a8-f618-40ee-a193-0a41dd57c30b"]}],"mendeley":{"formattedCitation":"&lt;sup&gt;4&lt;/sup&gt;","plainTextFormattedCitation":"4","previouslyFormattedCitation":"&lt;sup&gt;4&lt;/sup&gt;"},"properties":{"noteIndex":0},"schema":"https://github.com/citation-style-language/schema/raw/master/csl-citation.json"}</w:instrText>
      </w:r>
      <w:r w:rsidR="00A73AF1" w:rsidRPr="495BAC12">
        <w:rPr>
          <w:rFonts w:ascii="Garamond" w:hAnsi="Garamond"/>
          <w:sz w:val="24"/>
          <w:szCs w:val="24"/>
          <w:lang w:val="en-GB"/>
        </w:rPr>
        <w:fldChar w:fldCharType="separate"/>
      </w:r>
      <w:r w:rsidR="00B77FD1" w:rsidRPr="495BAC12">
        <w:rPr>
          <w:rFonts w:ascii="Garamond" w:hAnsi="Garamond"/>
          <w:noProof/>
          <w:sz w:val="24"/>
          <w:szCs w:val="24"/>
          <w:vertAlign w:val="superscript"/>
          <w:lang w:val="en-GB"/>
        </w:rPr>
        <w:t>4</w:t>
      </w:r>
      <w:r w:rsidR="00A73AF1" w:rsidRPr="495BAC12">
        <w:rPr>
          <w:rFonts w:ascii="Garamond" w:hAnsi="Garamond"/>
          <w:sz w:val="24"/>
          <w:szCs w:val="24"/>
          <w:lang w:val="en-GB"/>
        </w:rPr>
        <w:fldChar w:fldCharType="end"/>
      </w:r>
      <w:r w:rsidR="00CA6D19" w:rsidRPr="495BAC12">
        <w:rPr>
          <w:rFonts w:ascii="Garamond" w:hAnsi="Garamond"/>
          <w:sz w:val="24"/>
          <w:szCs w:val="24"/>
          <w:lang w:val="en-GB"/>
        </w:rPr>
        <w:t>. Thus, bearing all that in mind, this thesis project addresses both the influence of the electrolyte (pH and cations influence) and the study of the activation energy for the CO2RR on Pt well-defined single crystals by using techniques such as cyclic voltammetry, impedance spectroscopy and differential electrochemical mass spectrometry (DEMS).</w:t>
      </w:r>
    </w:p>
    <w:p w14:paraId="27CF41F4" w14:textId="6CD49652" w:rsidR="0016765C" w:rsidRPr="00D90606" w:rsidRDefault="00D22016" w:rsidP="0016765C">
      <w:pPr>
        <w:jc w:val="both"/>
        <w:rPr>
          <w:rFonts w:ascii="Garamond" w:hAnsi="Garamond"/>
          <w:b/>
          <w:szCs w:val="22"/>
          <w:lang w:val="en-GB"/>
        </w:rPr>
      </w:pPr>
      <w:r w:rsidRPr="00D90606">
        <w:rPr>
          <w:rFonts w:ascii="Garamond" w:hAnsi="Garamond"/>
          <w:b/>
          <w:szCs w:val="22"/>
          <w:lang w:val="en-GB"/>
        </w:rPr>
        <w:t>References</w:t>
      </w:r>
    </w:p>
    <w:p w14:paraId="35322416" w14:textId="4986B501" w:rsidR="00953A51" w:rsidRPr="00953A51" w:rsidRDefault="00953A51" w:rsidP="00953A51">
      <w:pPr>
        <w:widowControl w:val="0"/>
        <w:autoSpaceDE w:val="0"/>
        <w:autoSpaceDN w:val="0"/>
        <w:adjustRightInd w:val="0"/>
        <w:ind w:left="640" w:hanging="640"/>
        <w:rPr>
          <w:rFonts w:ascii="Garamond" w:hAnsi="Garamond"/>
          <w:noProof/>
          <w:szCs w:val="24"/>
        </w:rPr>
      </w:pPr>
      <w:r>
        <w:rPr>
          <w:rFonts w:ascii="Garamond" w:hAnsi="Garamond"/>
          <w:szCs w:val="22"/>
          <w:lang w:val="en-GB"/>
        </w:rPr>
        <w:fldChar w:fldCharType="begin" w:fldLock="1"/>
      </w:r>
      <w:r>
        <w:rPr>
          <w:rFonts w:ascii="Garamond" w:hAnsi="Garamond"/>
          <w:szCs w:val="22"/>
          <w:lang w:val="en-GB"/>
        </w:rPr>
        <w:instrText xml:space="preserve">ADDIN Mendeley Bibliography CSL_BIBLIOGRAPHY </w:instrText>
      </w:r>
      <w:r>
        <w:rPr>
          <w:rFonts w:ascii="Garamond" w:hAnsi="Garamond"/>
          <w:szCs w:val="22"/>
          <w:lang w:val="en-GB"/>
        </w:rPr>
        <w:fldChar w:fldCharType="separate"/>
      </w:r>
      <w:r w:rsidRPr="00953A51">
        <w:rPr>
          <w:rFonts w:ascii="Garamond" w:hAnsi="Garamond"/>
          <w:noProof/>
          <w:szCs w:val="24"/>
        </w:rPr>
        <w:t>1.</w:t>
      </w:r>
      <w:r w:rsidRPr="00953A51">
        <w:rPr>
          <w:rFonts w:ascii="Garamond" w:hAnsi="Garamond"/>
          <w:noProof/>
          <w:szCs w:val="24"/>
        </w:rPr>
        <w:tab/>
        <w:t xml:space="preserve">Hoshi, N., Suzuki, T. &amp; Hori, Y.. </w:t>
      </w:r>
      <w:r w:rsidRPr="00953A51">
        <w:rPr>
          <w:rFonts w:ascii="Garamond" w:hAnsi="Garamond"/>
          <w:i/>
          <w:iCs/>
          <w:noProof/>
          <w:szCs w:val="24"/>
        </w:rPr>
        <w:t>Electrochim. Acta</w:t>
      </w:r>
      <w:r w:rsidRPr="00953A51">
        <w:rPr>
          <w:rFonts w:ascii="Garamond" w:hAnsi="Garamond"/>
          <w:noProof/>
          <w:szCs w:val="24"/>
        </w:rPr>
        <w:t xml:space="preserve"> </w:t>
      </w:r>
      <w:r w:rsidRPr="00953A51">
        <w:rPr>
          <w:rFonts w:ascii="Garamond" w:hAnsi="Garamond"/>
          <w:b/>
          <w:bCs/>
          <w:noProof/>
          <w:szCs w:val="24"/>
        </w:rPr>
        <w:t>41</w:t>
      </w:r>
      <w:r w:rsidRPr="00953A51">
        <w:rPr>
          <w:rFonts w:ascii="Garamond" w:hAnsi="Garamond"/>
          <w:noProof/>
          <w:szCs w:val="24"/>
        </w:rPr>
        <w:t>, 1647–1653 (1996).</w:t>
      </w:r>
    </w:p>
    <w:p w14:paraId="5F9F387B" w14:textId="4FDAB1FE" w:rsidR="00953A51" w:rsidRPr="00953A51" w:rsidRDefault="00953A51" w:rsidP="00953A51">
      <w:pPr>
        <w:widowControl w:val="0"/>
        <w:autoSpaceDE w:val="0"/>
        <w:autoSpaceDN w:val="0"/>
        <w:adjustRightInd w:val="0"/>
        <w:ind w:left="640" w:hanging="640"/>
        <w:rPr>
          <w:rFonts w:ascii="Garamond" w:hAnsi="Garamond"/>
          <w:noProof/>
          <w:szCs w:val="24"/>
        </w:rPr>
      </w:pPr>
      <w:r w:rsidRPr="00953A51">
        <w:rPr>
          <w:rFonts w:ascii="Garamond" w:hAnsi="Garamond"/>
          <w:noProof/>
          <w:szCs w:val="24"/>
        </w:rPr>
        <w:t>2.</w:t>
      </w:r>
      <w:r w:rsidRPr="00953A51">
        <w:rPr>
          <w:rFonts w:ascii="Garamond" w:hAnsi="Garamond"/>
          <w:noProof/>
          <w:szCs w:val="24"/>
        </w:rPr>
        <w:tab/>
        <w:t xml:space="preserve">Singh, M. R., Kwon, Y., Lum, Y., Ager, J. W. &amp; Bell, A. T. </w:t>
      </w:r>
      <w:r w:rsidRPr="00953A51">
        <w:rPr>
          <w:rFonts w:ascii="Garamond" w:hAnsi="Garamond"/>
          <w:i/>
          <w:iCs/>
          <w:noProof/>
          <w:szCs w:val="24"/>
        </w:rPr>
        <w:t>J. Am. Chem. Soc.</w:t>
      </w:r>
      <w:r w:rsidRPr="00953A51">
        <w:rPr>
          <w:rFonts w:ascii="Garamond" w:hAnsi="Garamond"/>
          <w:noProof/>
          <w:szCs w:val="24"/>
        </w:rPr>
        <w:t xml:space="preserve"> </w:t>
      </w:r>
      <w:r w:rsidRPr="00953A51">
        <w:rPr>
          <w:rFonts w:ascii="Garamond" w:hAnsi="Garamond"/>
          <w:b/>
          <w:bCs/>
          <w:noProof/>
          <w:szCs w:val="24"/>
        </w:rPr>
        <w:t>138</w:t>
      </w:r>
      <w:r w:rsidRPr="00953A51">
        <w:rPr>
          <w:rFonts w:ascii="Garamond" w:hAnsi="Garamond"/>
          <w:noProof/>
          <w:szCs w:val="24"/>
        </w:rPr>
        <w:t>, 13006–13012 (2016).</w:t>
      </w:r>
    </w:p>
    <w:p w14:paraId="7A46B460" w14:textId="13EB3F48" w:rsidR="00953A51" w:rsidRPr="00953A51" w:rsidRDefault="00953A51" w:rsidP="00953A51">
      <w:pPr>
        <w:widowControl w:val="0"/>
        <w:autoSpaceDE w:val="0"/>
        <w:autoSpaceDN w:val="0"/>
        <w:adjustRightInd w:val="0"/>
        <w:ind w:left="640" w:hanging="640"/>
        <w:rPr>
          <w:rFonts w:ascii="Garamond" w:hAnsi="Garamond"/>
          <w:noProof/>
          <w:szCs w:val="24"/>
        </w:rPr>
      </w:pPr>
      <w:r w:rsidRPr="008D403B">
        <w:rPr>
          <w:rFonts w:ascii="Garamond" w:hAnsi="Garamond"/>
          <w:noProof/>
          <w:szCs w:val="24"/>
          <w:lang w:val="es-ES"/>
        </w:rPr>
        <w:lastRenderedPageBreak/>
        <w:t>3.</w:t>
      </w:r>
      <w:r w:rsidRPr="008D403B">
        <w:rPr>
          <w:rFonts w:ascii="Garamond" w:hAnsi="Garamond"/>
          <w:noProof/>
          <w:szCs w:val="24"/>
          <w:lang w:val="es-ES"/>
        </w:rPr>
        <w:tab/>
        <w:t xml:space="preserve">Martínez-Hincapié, R., Berná, A., Rodes, A., Climent, V. &amp; Feliu, J. M. </w:t>
      </w:r>
      <w:r w:rsidRPr="008D403B">
        <w:rPr>
          <w:rFonts w:ascii="Garamond" w:hAnsi="Garamond"/>
          <w:i/>
          <w:iCs/>
          <w:noProof/>
          <w:szCs w:val="24"/>
          <w:lang w:val="es-ES"/>
        </w:rPr>
        <w:t xml:space="preserve">J. Phys. </w:t>
      </w:r>
      <w:r w:rsidRPr="00953A51">
        <w:rPr>
          <w:rFonts w:ascii="Garamond" w:hAnsi="Garamond"/>
          <w:i/>
          <w:iCs/>
          <w:noProof/>
          <w:szCs w:val="24"/>
        </w:rPr>
        <w:t>Chem. C</w:t>
      </w:r>
      <w:r w:rsidRPr="00953A51">
        <w:rPr>
          <w:rFonts w:ascii="Garamond" w:hAnsi="Garamond"/>
          <w:noProof/>
          <w:szCs w:val="24"/>
        </w:rPr>
        <w:t xml:space="preserve"> </w:t>
      </w:r>
      <w:r w:rsidRPr="00953A51">
        <w:rPr>
          <w:rFonts w:ascii="Garamond" w:hAnsi="Garamond"/>
          <w:b/>
          <w:bCs/>
          <w:noProof/>
          <w:szCs w:val="24"/>
        </w:rPr>
        <w:t>120</w:t>
      </w:r>
      <w:r w:rsidRPr="00953A51">
        <w:rPr>
          <w:rFonts w:ascii="Garamond" w:hAnsi="Garamond"/>
          <w:noProof/>
          <w:szCs w:val="24"/>
        </w:rPr>
        <w:t>, 16191–16199 (2016).</w:t>
      </w:r>
    </w:p>
    <w:p w14:paraId="0582C416" w14:textId="42E7771C" w:rsidR="00953A51" w:rsidRPr="00953A51" w:rsidRDefault="00953A51" w:rsidP="00953A51">
      <w:pPr>
        <w:widowControl w:val="0"/>
        <w:autoSpaceDE w:val="0"/>
        <w:autoSpaceDN w:val="0"/>
        <w:adjustRightInd w:val="0"/>
        <w:ind w:left="640" w:hanging="640"/>
        <w:rPr>
          <w:rFonts w:ascii="Garamond" w:hAnsi="Garamond"/>
          <w:noProof/>
        </w:rPr>
      </w:pPr>
      <w:r w:rsidRPr="00953A51">
        <w:rPr>
          <w:rFonts w:ascii="Garamond" w:hAnsi="Garamond"/>
          <w:noProof/>
          <w:szCs w:val="24"/>
        </w:rPr>
        <w:t>4.</w:t>
      </w:r>
      <w:r w:rsidRPr="00953A51">
        <w:rPr>
          <w:rFonts w:ascii="Garamond" w:hAnsi="Garamond"/>
          <w:noProof/>
          <w:szCs w:val="24"/>
        </w:rPr>
        <w:tab/>
        <w:t xml:space="preserve">Botello, L. E., Feliu, J. M. &amp; Climent, V. </w:t>
      </w:r>
      <w:r w:rsidRPr="00953A51">
        <w:rPr>
          <w:rFonts w:ascii="Garamond" w:hAnsi="Garamond"/>
          <w:i/>
          <w:iCs/>
          <w:noProof/>
          <w:szCs w:val="24"/>
        </w:rPr>
        <w:t>ACS Appl. Mater. Interfaces</w:t>
      </w:r>
      <w:r w:rsidRPr="00953A51">
        <w:rPr>
          <w:rFonts w:ascii="Garamond" w:hAnsi="Garamond"/>
          <w:noProof/>
          <w:szCs w:val="24"/>
        </w:rPr>
        <w:t xml:space="preserve"> </w:t>
      </w:r>
      <w:r w:rsidRPr="00953A51">
        <w:rPr>
          <w:rFonts w:ascii="Garamond" w:hAnsi="Garamond"/>
          <w:b/>
          <w:bCs/>
          <w:noProof/>
          <w:szCs w:val="24"/>
        </w:rPr>
        <w:t>12</w:t>
      </w:r>
      <w:r w:rsidRPr="00953A51">
        <w:rPr>
          <w:rFonts w:ascii="Garamond" w:hAnsi="Garamond"/>
          <w:noProof/>
          <w:szCs w:val="24"/>
        </w:rPr>
        <w:t>, 42911–42917 (2020).</w:t>
      </w:r>
    </w:p>
    <w:p w14:paraId="024E3A56" w14:textId="7E296C2F" w:rsidR="00D62846" w:rsidRPr="00D90606" w:rsidRDefault="00953A51" w:rsidP="008B11AF">
      <w:pPr>
        <w:pStyle w:val="Encabezado"/>
        <w:tabs>
          <w:tab w:val="left" w:pos="709"/>
        </w:tabs>
        <w:jc w:val="both"/>
        <w:rPr>
          <w:rFonts w:ascii="Garamond" w:hAnsi="Garamond"/>
          <w:lang w:val="en-GB"/>
        </w:rPr>
      </w:pPr>
      <w:r>
        <w:rPr>
          <w:rFonts w:ascii="Garamond" w:hAnsi="Garamond"/>
          <w:szCs w:val="22"/>
          <w:lang w:val="en-GB"/>
        </w:rPr>
        <w:fldChar w:fldCharType="end"/>
      </w:r>
    </w:p>
    <w:sectPr w:rsidR="00D62846" w:rsidRPr="00D90606" w:rsidSect="00167994">
      <w:headerReference w:type="default" r:id="rId8"/>
      <w:footerReference w:type="default" r:id="rId9"/>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9ABE3" w14:textId="77777777" w:rsidR="00FE6620" w:rsidRDefault="00FE6620">
      <w:r>
        <w:separator/>
      </w:r>
    </w:p>
  </w:endnote>
  <w:endnote w:type="continuationSeparator" w:id="0">
    <w:p w14:paraId="74F7E9A4" w14:textId="77777777" w:rsidR="00FE6620" w:rsidRDefault="00FE6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07E9C" w14:textId="77777777" w:rsidR="00FE6620" w:rsidRDefault="00FE6620">
      <w:r>
        <w:separator/>
      </w:r>
    </w:p>
  </w:footnote>
  <w:footnote w:type="continuationSeparator" w:id="0">
    <w:p w14:paraId="4909213F" w14:textId="77777777" w:rsidR="00FE6620" w:rsidRDefault="00FE6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es-ES" w:eastAsia="es-ES"/>
            </w:rPr>
            <w:drawing>
              <wp:inline distT="0" distB="0" distL="0" distR="0" wp14:anchorId="60F4A526" wp14:editId="73713211">
                <wp:extent cx="1705424" cy="958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intelligence2.xml><?xml version="1.0" encoding="utf-8"?>
<int2:intelligence xmlns:int2="http://schemas.microsoft.com/office/intelligence/2020/intelligence" xmlns:oel="http://schemas.microsoft.com/office/2019/extlst">
  <int2:observations>
    <int2:bookmark int2:bookmarkName="_Int_Md7uP8Ks" int2:invalidationBookmarkName="" int2:hashCode="XIL4Y8+eu4VYea" int2:id="GCq9Deh9">
      <int2:state int2:value="Reviewed" int2:type="WordDesignerSuggestedImage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BYgMzE3NLcwMLEyUdpeDU4uLM/DyQAsNaAB7cPxYsAAAA"/>
  </w:docVars>
  <w:rsids>
    <w:rsidRoot w:val="00DC7A4E"/>
    <w:rsid w:val="00024331"/>
    <w:rsid w:val="0004082D"/>
    <w:rsid w:val="00057F51"/>
    <w:rsid w:val="0007035D"/>
    <w:rsid w:val="00070E59"/>
    <w:rsid w:val="000868A3"/>
    <w:rsid w:val="0009721C"/>
    <w:rsid w:val="000B3EE0"/>
    <w:rsid w:val="000C07A7"/>
    <w:rsid w:val="000C51A8"/>
    <w:rsid w:val="000D67D5"/>
    <w:rsid w:val="00123F69"/>
    <w:rsid w:val="00143626"/>
    <w:rsid w:val="0016765C"/>
    <w:rsid w:val="00167994"/>
    <w:rsid w:val="001861B6"/>
    <w:rsid w:val="00196CAF"/>
    <w:rsid w:val="001D6E73"/>
    <w:rsid w:val="001D7E88"/>
    <w:rsid w:val="00203491"/>
    <w:rsid w:val="00203614"/>
    <w:rsid w:val="00222F6B"/>
    <w:rsid w:val="00240130"/>
    <w:rsid w:val="00245E7D"/>
    <w:rsid w:val="00247CD2"/>
    <w:rsid w:val="00257AC6"/>
    <w:rsid w:val="00266EAA"/>
    <w:rsid w:val="00286756"/>
    <w:rsid w:val="0028791E"/>
    <w:rsid w:val="00294D00"/>
    <w:rsid w:val="002D1518"/>
    <w:rsid w:val="002D3067"/>
    <w:rsid w:val="002E2D9B"/>
    <w:rsid w:val="00306720"/>
    <w:rsid w:val="00376AAF"/>
    <w:rsid w:val="003A72D5"/>
    <w:rsid w:val="003E49EB"/>
    <w:rsid w:val="004046B1"/>
    <w:rsid w:val="00446021"/>
    <w:rsid w:val="0047146F"/>
    <w:rsid w:val="00477541"/>
    <w:rsid w:val="004B4453"/>
    <w:rsid w:val="004B78FF"/>
    <w:rsid w:val="0051187E"/>
    <w:rsid w:val="00530879"/>
    <w:rsid w:val="005704FF"/>
    <w:rsid w:val="005859DF"/>
    <w:rsid w:val="005B6B45"/>
    <w:rsid w:val="005C239F"/>
    <w:rsid w:val="005C34DC"/>
    <w:rsid w:val="005D65E5"/>
    <w:rsid w:val="00642C2C"/>
    <w:rsid w:val="0067036C"/>
    <w:rsid w:val="0068256B"/>
    <w:rsid w:val="00686736"/>
    <w:rsid w:val="006A3935"/>
    <w:rsid w:val="006C1127"/>
    <w:rsid w:val="006C5264"/>
    <w:rsid w:val="006C5BC2"/>
    <w:rsid w:val="006F69F9"/>
    <w:rsid w:val="0072427B"/>
    <w:rsid w:val="00733CC7"/>
    <w:rsid w:val="007379A4"/>
    <w:rsid w:val="00761A6B"/>
    <w:rsid w:val="00762E10"/>
    <w:rsid w:val="00766762"/>
    <w:rsid w:val="00772B69"/>
    <w:rsid w:val="00786F55"/>
    <w:rsid w:val="007A4E96"/>
    <w:rsid w:val="007C0010"/>
    <w:rsid w:val="007C3186"/>
    <w:rsid w:val="007D2205"/>
    <w:rsid w:val="00807D79"/>
    <w:rsid w:val="00825387"/>
    <w:rsid w:val="00830FE6"/>
    <w:rsid w:val="00831359"/>
    <w:rsid w:val="00863D84"/>
    <w:rsid w:val="00881797"/>
    <w:rsid w:val="00884AC2"/>
    <w:rsid w:val="008A734C"/>
    <w:rsid w:val="008B11AF"/>
    <w:rsid w:val="008D2399"/>
    <w:rsid w:val="008D403B"/>
    <w:rsid w:val="008E5735"/>
    <w:rsid w:val="00922249"/>
    <w:rsid w:val="009227F8"/>
    <w:rsid w:val="00932135"/>
    <w:rsid w:val="00946970"/>
    <w:rsid w:val="00947A69"/>
    <w:rsid w:val="00953A51"/>
    <w:rsid w:val="009918CD"/>
    <w:rsid w:val="009C6B71"/>
    <w:rsid w:val="009D613A"/>
    <w:rsid w:val="009F0344"/>
    <w:rsid w:val="00A00135"/>
    <w:rsid w:val="00A25F24"/>
    <w:rsid w:val="00A30A49"/>
    <w:rsid w:val="00A4623C"/>
    <w:rsid w:val="00A67F86"/>
    <w:rsid w:val="00A73AF1"/>
    <w:rsid w:val="00A859F9"/>
    <w:rsid w:val="00A924E5"/>
    <w:rsid w:val="00AA4C4D"/>
    <w:rsid w:val="00AB661D"/>
    <w:rsid w:val="00AC0B02"/>
    <w:rsid w:val="00AC26BC"/>
    <w:rsid w:val="00AC4975"/>
    <w:rsid w:val="00AC597E"/>
    <w:rsid w:val="00AE0EA7"/>
    <w:rsid w:val="00AF29EC"/>
    <w:rsid w:val="00B114B7"/>
    <w:rsid w:val="00B3201F"/>
    <w:rsid w:val="00B45BF0"/>
    <w:rsid w:val="00B608AE"/>
    <w:rsid w:val="00B62A68"/>
    <w:rsid w:val="00B77FD1"/>
    <w:rsid w:val="00B839B1"/>
    <w:rsid w:val="00BA72B5"/>
    <w:rsid w:val="00C0179A"/>
    <w:rsid w:val="00C13315"/>
    <w:rsid w:val="00C32CE8"/>
    <w:rsid w:val="00C411B5"/>
    <w:rsid w:val="00C62027"/>
    <w:rsid w:val="00C821FC"/>
    <w:rsid w:val="00C82977"/>
    <w:rsid w:val="00C82B92"/>
    <w:rsid w:val="00C93AA1"/>
    <w:rsid w:val="00CA6D19"/>
    <w:rsid w:val="00CB2994"/>
    <w:rsid w:val="00CE31D8"/>
    <w:rsid w:val="00D05F05"/>
    <w:rsid w:val="00D07ACF"/>
    <w:rsid w:val="00D22016"/>
    <w:rsid w:val="00D62846"/>
    <w:rsid w:val="00D90606"/>
    <w:rsid w:val="00D9216D"/>
    <w:rsid w:val="00DA02DF"/>
    <w:rsid w:val="00DA1D86"/>
    <w:rsid w:val="00DC222F"/>
    <w:rsid w:val="00DC7A4E"/>
    <w:rsid w:val="00DD5854"/>
    <w:rsid w:val="00E01A28"/>
    <w:rsid w:val="00E03711"/>
    <w:rsid w:val="00E41EFE"/>
    <w:rsid w:val="00E53EF2"/>
    <w:rsid w:val="00E6580B"/>
    <w:rsid w:val="00E707C4"/>
    <w:rsid w:val="00E9511D"/>
    <w:rsid w:val="00EC099B"/>
    <w:rsid w:val="00EC3AEE"/>
    <w:rsid w:val="00EE418E"/>
    <w:rsid w:val="00F40652"/>
    <w:rsid w:val="00F51426"/>
    <w:rsid w:val="00F55D0F"/>
    <w:rsid w:val="00F83028"/>
    <w:rsid w:val="00F90D3F"/>
    <w:rsid w:val="00F9269D"/>
    <w:rsid w:val="00FB3710"/>
    <w:rsid w:val="00FB6093"/>
    <w:rsid w:val="00FE47DE"/>
    <w:rsid w:val="00FE6620"/>
    <w:rsid w:val="02D21C3E"/>
    <w:rsid w:val="0339619D"/>
    <w:rsid w:val="0464DBBC"/>
    <w:rsid w:val="04C1FDEE"/>
    <w:rsid w:val="05070E1C"/>
    <w:rsid w:val="06076AB3"/>
    <w:rsid w:val="065DCE4F"/>
    <w:rsid w:val="06A29368"/>
    <w:rsid w:val="06A2DE7D"/>
    <w:rsid w:val="09956F11"/>
    <w:rsid w:val="0A18CDC3"/>
    <w:rsid w:val="0A85041F"/>
    <w:rsid w:val="0B2B4B25"/>
    <w:rsid w:val="0EB22D41"/>
    <w:rsid w:val="0F9776E9"/>
    <w:rsid w:val="0FAE4CF9"/>
    <w:rsid w:val="10304D51"/>
    <w:rsid w:val="13443EDD"/>
    <w:rsid w:val="14796157"/>
    <w:rsid w:val="167BDF9F"/>
    <w:rsid w:val="169F8ED5"/>
    <w:rsid w:val="174A5ECA"/>
    <w:rsid w:val="17B10219"/>
    <w:rsid w:val="1817B000"/>
    <w:rsid w:val="193C06E2"/>
    <w:rsid w:val="1A940F44"/>
    <w:rsid w:val="1CEB2123"/>
    <w:rsid w:val="1FAB4866"/>
    <w:rsid w:val="24B06E69"/>
    <w:rsid w:val="25C2EBCB"/>
    <w:rsid w:val="29086E60"/>
    <w:rsid w:val="2A4E98E0"/>
    <w:rsid w:val="2BC895A3"/>
    <w:rsid w:val="2D646604"/>
    <w:rsid w:val="2DDBDF83"/>
    <w:rsid w:val="34CE7FB9"/>
    <w:rsid w:val="35E347E4"/>
    <w:rsid w:val="370B484A"/>
    <w:rsid w:val="3A3A8C47"/>
    <w:rsid w:val="420B8920"/>
    <w:rsid w:val="42F1112C"/>
    <w:rsid w:val="43A75981"/>
    <w:rsid w:val="47190F4F"/>
    <w:rsid w:val="47C4824F"/>
    <w:rsid w:val="488BD3A5"/>
    <w:rsid w:val="48B4DFB0"/>
    <w:rsid w:val="49280EA4"/>
    <w:rsid w:val="495BAC12"/>
    <w:rsid w:val="4A50B011"/>
    <w:rsid w:val="4D8850D3"/>
    <w:rsid w:val="4E41FEBA"/>
    <w:rsid w:val="4F66205F"/>
    <w:rsid w:val="50E9F022"/>
    <w:rsid w:val="56E7DF45"/>
    <w:rsid w:val="571DF842"/>
    <w:rsid w:val="5883AFA6"/>
    <w:rsid w:val="58919179"/>
    <w:rsid w:val="5A511110"/>
    <w:rsid w:val="5BC72E6A"/>
    <w:rsid w:val="5E89597E"/>
    <w:rsid w:val="5F248233"/>
    <w:rsid w:val="63546DDC"/>
    <w:rsid w:val="635CCAA1"/>
    <w:rsid w:val="65984BAB"/>
    <w:rsid w:val="670B1001"/>
    <w:rsid w:val="683A7B97"/>
    <w:rsid w:val="69CC0C25"/>
    <w:rsid w:val="6AA8F908"/>
    <w:rsid w:val="6B5F7FC1"/>
    <w:rsid w:val="6CFB5022"/>
    <w:rsid w:val="7032F0E4"/>
    <w:rsid w:val="71CEC145"/>
    <w:rsid w:val="73272E4E"/>
    <w:rsid w:val="75E95962"/>
    <w:rsid w:val="79D9D32A"/>
    <w:rsid w:val="7C05A5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customStyle="1" w:styleId="Mencinsinresolver1">
    <w:name w:val="Mención sin resolver1"/>
    <w:basedOn w:val="Fuentedeprrafopredeter"/>
    <w:uiPriority w:val="99"/>
    <w:semiHidden/>
    <w:unhideWhenUsed/>
    <w:rsid w:val="00DA1D86"/>
    <w:rPr>
      <w:color w:val="605E5C"/>
      <w:shd w:val="clear" w:color="auto" w:fill="E1DFDD"/>
    </w:rPr>
  </w:style>
  <w:style w:type="paragraph" w:styleId="Textocomentario">
    <w:name w:val="annotation text"/>
    <w:basedOn w:val="Normal"/>
    <w:link w:val="TextocomentarioCar"/>
    <w:semiHidden/>
    <w:unhideWhenUsed/>
  </w:style>
  <w:style w:type="character" w:customStyle="1" w:styleId="TextocomentarioCar">
    <w:name w:val="Texto comentario Car"/>
    <w:basedOn w:val="Fuentedeprrafopredeter"/>
    <w:link w:val="Textocomentario"/>
    <w:semiHidden/>
    <w:rPr>
      <w:lang w:val="en-US" w:eastAsia="en-US"/>
    </w:rPr>
  </w:style>
  <w:style w:type="character" w:styleId="Refdecomentario">
    <w:name w:val="annotation reference"/>
    <w:basedOn w:val="Fuentedeprrafopredeter"/>
    <w:semiHidden/>
    <w:unhideWhenUsed/>
    <w:rPr>
      <w:sz w:val="16"/>
      <w:szCs w:val="16"/>
    </w:rPr>
  </w:style>
  <w:style w:type="paragraph" w:styleId="Descripcin">
    <w:name w:val="caption"/>
    <w:basedOn w:val="Normal"/>
    <w:next w:val="Normal"/>
    <w:unhideWhenUsed/>
    <w:qFormat/>
    <w:rsid w:val="000C51A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2E034-BF9C-4EF9-9CD4-8E9752953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417</Words>
  <Characters>9250</Characters>
  <Application>Microsoft Office Word</Application>
  <DocSecurity>4</DocSecurity>
  <Lines>77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2</cp:revision>
  <cp:lastPrinted>2016-02-23T11:55:00Z</cp:lastPrinted>
  <dcterms:created xsi:type="dcterms:W3CDTF">2022-06-11T14:13:00Z</dcterms:created>
  <dcterms:modified xsi:type="dcterms:W3CDTF">2022-06-11T14:13:00Z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11th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ce1ed392-678e-3a54-ad6f-2e10b653e424</vt:lpwstr>
  </property>
  <property fmtid="{D5CDD505-2E9C-101B-9397-08002B2CF9AE}" pid="24" name="Mendeley Citation Style_1">
    <vt:lpwstr>http://www.zotero.org/styles/nature</vt:lpwstr>
  </property>
</Properties>
</file>