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Garamond" w:cs="Garamond" w:eastAsia="Garamond" w:hAnsi="Garamond"/>
          <w:b w:val="1"/>
          <w:i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1"/>
          <w:sz w:val="28"/>
          <w:szCs w:val="28"/>
          <w:rtl w:val="0"/>
        </w:rPr>
        <w:t xml:space="preserve">Insights into the lithium recovery using GF-LMO electrodes in a flow-through rocking-chair cell</w:t>
      </w:r>
      <w:r w:rsidDel="00000000" w:rsidR="00000000" w:rsidRPr="00000000">
        <w:rPr>
          <w:rtl w:val="0"/>
        </w:rPr>
      </w:r>
    </w:p>
    <w:p w:rsidR="00000000" w:rsidDel="00000000" w:rsidP="00000000" w:rsidRDefault="00000000" w:rsidRPr="00000000" w14:paraId="00000002">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3">
      <w:pPr>
        <w:jc w:val="center"/>
        <w:rPr>
          <w:rFonts w:ascii="Calibri" w:cs="Calibri" w:eastAsia="Calibri" w:hAnsi="Calibri"/>
          <w:sz w:val="24"/>
          <w:szCs w:val="24"/>
        </w:rPr>
      </w:pPr>
      <w:r w:rsidDel="00000000" w:rsidR="00000000" w:rsidRPr="00000000">
        <w:rPr>
          <w:rFonts w:ascii="Garamond" w:cs="Garamond" w:eastAsia="Garamond" w:hAnsi="Garamond"/>
          <w:sz w:val="24"/>
          <w:szCs w:val="24"/>
          <w:u w:val="single"/>
          <w:rtl w:val="0"/>
        </w:rPr>
        <w:t xml:space="preserve">Kaíque Souza G. C. Oliveira</w:t>
      </w:r>
      <w:r w:rsidDel="00000000" w:rsidR="00000000" w:rsidRPr="00000000">
        <w:rPr>
          <w:rtl w:val="0"/>
        </w:rPr>
      </w:r>
    </w:p>
    <w:p w:rsidR="00000000" w:rsidDel="00000000" w:rsidP="00000000" w:rsidRDefault="00000000" w:rsidRPr="00000000" w14:paraId="00000004">
      <w:pPr>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Programa de Doctorado en Electroquímica. Ciencia y Tecnología, Universidad Autónoma de Madrid, c/Francisco Tomás y Valiente, 2, 28049, Madrid, España</w:t>
      </w:r>
    </w:p>
    <w:p w:rsidR="00000000" w:rsidDel="00000000" w:rsidP="00000000" w:rsidRDefault="00000000" w:rsidRPr="00000000" w14:paraId="00000005">
      <w:pPr>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*kaique.souzagoncalves@estudiante.uam.es</w:t>
      </w:r>
    </w:p>
    <w:p w:rsidR="00000000" w:rsidDel="00000000" w:rsidP="00000000" w:rsidRDefault="00000000" w:rsidRPr="00000000" w14:paraId="00000006">
      <w:pPr>
        <w:jc w:val="left"/>
        <w:rPr>
          <w:rFonts w:ascii="Garamond" w:cs="Garamond" w:eastAsia="Garamond" w:hAnsi="Garamond"/>
          <w:sz w:val="22"/>
          <w:szCs w:val="22"/>
        </w:rPr>
      </w:pPr>
      <w:r w:rsidDel="00000000" w:rsidR="00000000" w:rsidRPr="00000000">
        <w:rPr>
          <w:rFonts w:ascii="Garamond" w:cs="Garamond" w:eastAsia="Garamond" w:hAnsi="Garamond"/>
          <w:b w:val="1"/>
          <w:sz w:val="22"/>
          <w:szCs w:val="22"/>
          <w:rtl w:val="0"/>
        </w:rPr>
        <w:t xml:space="preserve">Mentor</w:t>
      </w:r>
      <w:r w:rsidDel="00000000" w:rsidR="00000000" w:rsidRPr="00000000">
        <w:rPr>
          <w:rFonts w:ascii="Garamond" w:cs="Garamond" w:eastAsia="Garamond" w:hAnsi="Garamond"/>
          <w:sz w:val="22"/>
          <w:szCs w:val="22"/>
          <w:rtl w:val="0"/>
        </w:rPr>
        <w:t xml:space="preserve">: Pilar Herrasti González, Programa de Doctorado en Electroquímica. Ciencia y Tecnología, Facultad de Ciencias, Universidad Autónoma de Madrid.</w:t>
      </w:r>
    </w:p>
    <w:p w:rsidR="00000000" w:rsidDel="00000000" w:rsidP="00000000" w:rsidRDefault="00000000" w:rsidRPr="00000000" w14:paraId="00000007">
      <w:pPr>
        <w:jc w:val="left"/>
        <w:rPr>
          <w:rFonts w:ascii="Garamond" w:cs="Garamond" w:eastAsia="Garamond" w:hAnsi="Garamond"/>
          <w:sz w:val="22"/>
          <w:szCs w:val="22"/>
        </w:rPr>
      </w:pPr>
      <w:r w:rsidDel="00000000" w:rsidR="00000000" w:rsidRPr="00000000">
        <w:rPr>
          <w:rFonts w:ascii="Garamond" w:cs="Garamond" w:eastAsia="Garamond" w:hAnsi="Garamond"/>
          <w:b w:val="1"/>
          <w:sz w:val="22"/>
          <w:szCs w:val="22"/>
          <w:rtl w:val="0"/>
        </w:rPr>
        <w:t xml:space="preserve">Director</w:t>
      </w:r>
      <w:r w:rsidDel="00000000" w:rsidR="00000000" w:rsidRPr="00000000">
        <w:rPr>
          <w:rFonts w:ascii="Garamond" w:cs="Garamond" w:eastAsia="Garamond" w:hAnsi="Garamond"/>
          <w:sz w:val="22"/>
          <w:szCs w:val="22"/>
          <w:rtl w:val="0"/>
        </w:rPr>
        <w:t xml:space="preserve">: Julio José Lado, Unidad de Procesos Electroquímicos, Instituto Madrileño de Estudios Avanzados en Energía.</w:t>
      </w:r>
    </w:p>
    <w:p w:rsidR="00000000" w:rsidDel="00000000" w:rsidP="00000000" w:rsidRDefault="00000000" w:rsidRPr="00000000" w14:paraId="00000008">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9">
      <w:pPr>
        <w:jc w:val="both"/>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Abstract</w:t>
      </w:r>
    </w:p>
    <w:p w:rsidR="00000000" w:rsidDel="00000000" w:rsidP="00000000" w:rsidRDefault="00000000" w:rsidRPr="00000000" w14:paraId="0000000A">
      <w:pPr>
        <w:ind w:right="49"/>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search for new technologies for lithium recovery increases as demand exceeds current production by the soda-lime process. In this sense, the electrochemical lithium recovery (ELR) has attracting attention for being a green technology, with high efficiency and low energy consumption [1]. In this work, the ELR performance of 3D composite electrode based on commercial LiMn</w:t>
      </w:r>
      <w:r w:rsidDel="00000000" w:rsidR="00000000" w:rsidRPr="00000000">
        <w:rPr>
          <w:rFonts w:ascii="Garamond" w:cs="Garamond" w:eastAsia="Garamond" w:hAnsi="Garamond"/>
          <w:sz w:val="24"/>
          <w:szCs w:val="24"/>
          <w:vertAlign w:val="subscript"/>
          <w:rtl w:val="0"/>
        </w:rPr>
        <w:t xml:space="preserve">2</w:t>
      </w:r>
      <w:r w:rsidDel="00000000" w:rsidR="00000000" w:rsidRPr="00000000">
        <w:rPr>
          <w:rFonts w:ascii="Garamond" w:cs="Garamond" w:eastAsia="Garamond" w:hAnsi="Garamond"/>
          <w:sz w:val="24"/>
          <w:szCs w:val="24"/>
          <w:rtl w:val="0"/>
        </w:rPr>
        <w:t xml:space="preserve">O</w:t>
      </w:r>
      <w:r w:rsidDel="00000000" w:rsidR="00000000" w:rsidRPr="00000000">
        <w:rPr>
          <w:rFonts w:ascii="Garamond" w:cs="Garamond" w:eastAsia="Garamond" w:hAnsi="Garamond"/>
          <w:sz w:val="24"/>
          <w:szCs w:val="24"/>
          <w:vertAlign w:val="subscript"/>
          <w:rtl w:val="0"/>
        </w:rPr>
        <w:t xml:space="preserve">4</w:t>
      </w:r>
      <w:r w:rsidDel="00000000" w:rsidR="00000000" w:rsidRPr="00000000">
        <w:rPr>
          <w:rFonts w:ascii="Garamond" w:cs="Garamond" w:eastAsia="Garamond" w:hAnsi="Garamond"/>
          <w:sz w:val="24"/>
          <w:szCs w:val="24"/>
          <w:rtl w:val="0"/>
        </w:rPr>
        <w:t xml:space="preserve"> supported on graphite felt (GF-LMO) was evaluated in a flow-through rocking-chair cell. Electrochemical characterizations showed the capacitive contribution of GF substrate to the total capacity of GF-LMO was insignificant, indicating that it only resulted from the lithium intercalation. The cyclic voltammetry (CV) performed in a three electrode cell showed the presence of two reversible pairs of redox peaks that can be attributed to the Li</w:t>
      </w:r>
      <w:r w:rsidDel="00000000" w:rsidR="00000000" w:rsidRPr="00000000">
        <w:rPr>
          <w:rFonts w:ascii="Garamond" w:cs="Garamond" w:eastAsia="Garamond" w:hAnsi="Garamond"/>
          <w:sz w:val="24"/>
          <w:szCs w:val="24"/>
          <w:vertAlign w:val="superscript"/>
          <w:rtl w:val="0"/>
        </w:rPr>
        <w:t xml:space="preserve">+</w:t>
      </w:r>
      <w:r w:rsidDel="00000000" w:rsidR="00000000" w:rsidRPr="00000000">
        <w:rPr>
          <w:rFonts w:ascii="Garamond" w:cs="Garamond" w:eastAsia="Garamond" w:hAnsi="Garamond"/>
          <w:sz w:val="24"/>
          <w:szCs w:val="24"/>
          <w:rtl w:val="0"/>
        </w:rPr>
        <w:t xml:space="preserve"> insertion in the tetrahedral position 8a with a transition composition of Li</w:t>
      </w:r>
      <w:r w:rsidDel="00000000" w:rsidR="00000000" w:rsidRPr="00000000">
        <w:rPr>
          <w:rFonts w:ascii="Garamond" w:cs="Garamond" w:eastAsia="Garamond" w:hAnsi="Garamond"/>
          <w:sz w:val="24"/>
          <w:szCs w:val="24"/>
          <w:vertAlign w:val="subscript"/>
          <w:rtl w:val="0"/>
        </w:rPr>
        <w:t xml:space="preserve">0.5</w:t>
      </w:r>
      <w:r w:rsidDel="00000000" w:rsidR="00000000" w:rsidRPr="00000000">
        <w:rPr>
          <w:rFonts w:ascii="Garamond" w:cs="Garamond" w:eastAsia="Garamond" w:hAnsi="Garamond"/>
          <w:sz w:val="24"/>
          <w:szCs w:val="24"/>
          <w:rtl w:val="0"/>
        </w:rPr>
        <w:t xml:space="preserve">Mn</w:t>
      </w:r>
      <w:r w:rsidDel="00000000" w:rsidR="00000000" w:rsidRPr="00000000">
        <w:rPr>
          <w:rFonts w:ascii="Garamond" w:cs="Garamond" w:eastAsia="Garamond" w:hAnsi="Garamond"/>
          <w:sz w:val="24"/>
          <w:szCs w:val="24"/>
          <w:vertAlign w:val="subscript"/>
          <w:rtl w:val="0"/>
        </w:rPr>
        <w:t xml:space="preserve">2</w:t>
      </w:r>
      <w:r w:rsidDel="00000000" w:rsidR="00000000" w:rsidRPr="00000000">
        <w:rPr>
          <w:rFonts w:ascii="Garamond" w:cs="Garamond" w:eastAsia="Garamond" w:hAnsi="Garamond"/>
          <w:sz w:val="24"/>
          <w:szCs w:val="24"/>
          <w:rtl w:val="0"/>
        </w:rPr>
        <w:t xml:space="preserve">O</w:t>
      </w:r>
      <w:r w:rsidDel="00000000" w:rsidR="00000000" w:rsidRPr="00000000">
        <w:rPr>
          <w:rFonts w:ascii="Garamond" w:cs="Garamond" w:eastAsia="Garamond" w:hAnsi="Garamond"/>
          <w:sz w:val="24"/>
          <w:szCs w:val="24"/>
          <w:vertAlign w:val="subscript"/>
          <w:rtl w:val="0"/>
        </w:rPr>
        <w:t xml:space="preserve">4</w:t>
      </w:r>
      <w:r w:rsidDel="00000000" w:rsidR="00000000" w:rsidRPr="00000000">
        <w:rPr>
          <w:rFonts w:ascii="Garamond" w:cs="Garamond" w:eastAsia="Garamond" w:hAnsi="Garamond"/>
          <w:sz w:val="24"/>
          <w:szCs w:val="24"/>
          <w:rtl w:val="0"/>
        </w:rPr>
        <w:t xml:space="preserve">, that will further transform to LiMn</w:t>
      </w:r>
      <w:r w:rsidDel="00000000" w:rsidR="00000000" w:rsidRPr="00000000">
        <w:rPr>
          <w:rFonts w:ascii="Garamond" w:cs="Garamond" w:eastAsia="Garamond" w:hAnsi="Garamond"/>
          <w:sz w:val="24"/>
          <w:szCs w:val="24"/>
          <w:vertAlign w:val="subscript"/>
          <w:rtl w:val="0"/>
        </w:rPr>
        <w:t xml:space="preserve">2</w:t>
      </w:r>
      <w:r w:rsidDel="00000000" w:rsidR="00000000" w:rsidRPr="00000000">
        <w:rPr>
          <w:rFonts w:ascii="Garamond" w:cs="Garamond" w:eastAsia="Garamond" w:hAnsi="Garamond"/>
          <w:sz w:val="24"/>
          <w:szCs w:val="24"/>
          <w:rtl w:val="0"/>
        </w:rPr>
        <w:t xml:space="preserve">O</w:t>
      </w:r>
      <w:r w:rsidDel="00000000" w:rsidR="00000000" w:rsidRPr="00000000">
        <w:rPr>
          <w:rFonts w:ascii="Garamond" w:cs="Garamond" w:eastAsia="Garamond" w:hAnsi="Garamond"/>
          <w:sz w:val="24"/>
          <w:szCs w:val="24"/>
          <w:vertAlign w:val="subscript"/>
          <w:rtl w:val="0"/>
        </w:rPr>
        <w:t xml:space="preserve">4</w:t>
      </w:r>
      <w:r w:rsidDel="00000000" w:rsidR="00000000" w:rsidRPr="00000000">
        <w:rPr>
          <w:rFonts w:ascii="Garamond" w:cs="Garamond" w:eastAsia="Garamond" w:hAnsi="Garamond"/>
          <w:sz w:val="24"/>
          <w:szCs w:val="24"/>
          <w:rtl w:val="0"/>
        </w:rPr>
        <w:t xml:space="preserve"> [2]. On the other hand, the CV performed in the two-electrode deionization cell showed that one of these peaks is irreversible. Therefore, galvanostatic lithium recovery were studied in two different potential windows, in order to evaluate the transfer of only one electron and the transfer of both ones. In the one electron transfer process, despite of the low-capacity values (6.6 mAh g</w:t>
      </w:r>
      <w:r w:rsidDel="00000000" w:rsidR="00000000" w:rsidRPr="00000000">
        <w:rPr>
          <w:rFonts w:ascii="Garamond" w:cs="Garamond" w:eastAsia="Garamond" w:hAnsi="Garamond"/>
          <w:sz w:val="24"/>
          <w:szCs w:val="24"/>
          <w:vertAlign w:val="superscript"/>
          <w:rtl w:val="0"/>
        </w:rPr>
        <w:t xml:space="preserve">-1</w:t>
      </w:r>
      <w:r w:rsidDel="00000000" w:rsidR="00000000" w:rsidRPr="00000000">
        <w:rPr>
          <w:rFonts w:ascii="Garamond" w:cs="Garamond" w:eastAsia="Garamond" w:hAnsi="Garamond"/>
          <w:sz w:val="24"/>
          <w:szCs w:val="24"/>
          <w:rtl w:val="0"/>
        </w:rPr>
        <w:t xml:space="preserve"> and 8.7 mgLiCl g</w:t>
      </w:r>
      <w:r w:rsidDel="00000000" w:rsidR="00000000" w:rsidRPr="00000000">
        <w:rPr>
          <w:rFonts w:ascii="Garamond" w:cs="Garamond" w:eastAsia="Garamond" w:hAnsi="Garamond"/>
          <w:sz w:val="24"/>
          <w:szCs w:val="24"/>
          <w:vertAlign w:val="superscript"/>
          <w:rtl w:val="0"/>
        </w:rPr>
        <w:t xml:space="preserve">-1</w:t>
      </w:r>
      <w:r w:rsidDel="00000000" w:rsidR="00000000" w:rsidRPr="00000000">
        <w:rPr>
          <w:rFonts w:ascii="Garamond" w:cs="Garamond" w:eastAsia="Garamond" w:hAnsi="Garamond"/>
          <w:sz w:val="24"/>
          <w:szCs w:val="24"/>
          <w:rtl w:val="0"/>
        </w:rPr>
        <w:t xml:space="preserve">), the steady state is quickly reached and remained its performance close to 100% over 50 cycles. On the other hand, exchanging two electrons, the equilibrium was only achieved after ~30 cycles and the expected capacity value (13.2 mAh g</w:t>
      </w:r>
      <w:r w:rsidDel="00000000" w:rsidR="00000000" w:rsidRPr="00000000">
        <w:rPr>
          <w:rFonts w:ascii="Garamond" w:cs="Garamond" w:eastAsia="Garamond" w:hAnsi="Garamond"/>
          <w:sz w:val="24"/>
          <w:szCs w:val="24"/>
          <w:vertAlign w:val="superscript"/>
          <w:rtl w:val="0"/>
        </w:rPr>
        <w:t xml:space="preserve">-1</w:t>
      </w:r>
      <w:r w:rsidDel="00000000" w:rsidR="00000000" w:rsidRPr="00000000">
        <w:rPr>
          <w:rFonts w:ascii="Garamond" w:cs="Garamond" w:eastAsia="Garamond" w:hAnsi="Garamond"/>
          <w:sz w:val="24"/>
          <w:szCs w:val="24"/>
          <w:rtl w:val="0"/>
        </w:rPr>
        <w:t xml:space="preserve">) was exceeded. As the second electron transfer takes place at potentials very close to water splitting, it suggests that secondary reactions were competing. These results highlight the importance of further studies to optimize deionization conditions (current density and working potential window), aiming to work with maximum lithium recovery capacity, without compromising electrode stability. The GF-LMO electrode seems to be promising for ELR due its facile and low-cost preparation and easy scale-up system.</w:t>
      </w:r>
    </w:p>
    <w:p w:rsidR="00000000" w:rsidDel="00000000" w:rsidP="00000000" w:rsidRDefault="00000000" w:rsidRPr="00000000" w14:paraId="0000000B">
      <w:pPr>
        <w:ind w:right="49"/>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C">
      <w:pPr>
        <w:jc w:val="both"/>
        <w:rPr>
          <w:rFonts w:ascii="Garamond" w:cs="Garamond" w:eastAsia="Garamond" w:hAnsi="Garamond"/>
          <w:b w:val="1"/>
        </w:rPr>
      </w:pPr>
      <w:r w:rsidDel="00000000" w:rsidR="00000000" w:rsidRPr="00000000">
        <w:rPr>
          <w:rFonts w:ascii="Garamond" w:cs="Garamond" w:eastAsia="Garamond" w:hAnsi="Garamond"/>
          <w:b w:val="1"/>
          <w:rtl w:val="0"/>
        </w:rPr>
        <w:t xml:space="preserve">Referencias</w:t>
      </w:r>
    </w:p>
    <w:p w:rsidR="00000000" w:rsidDel="00000000" w:rsidP="00000000" w:rsidRDefault="00000000" w:rsidRPr="00000000" w14:paraId="0000000D">
      <w:pPr>
        <w:jc w:val="both"/>
        <w:rPr>
          <w:rFonts w:ascii="Garamond" w:cs="Garamond" w:eastAsia="Garamond" w:hAnsi="Garamond"/>
        </w:rPr>
      </w:pPr>
      <w:r w:rsidDel="00000000" w:rsidR="00000000" w:rsidRPr="00000000">
        <w:rPr>
          <w:rFonts w:ascii="Garamond" w:cs="Garamond" w:eastAsia="Garamond" w:hAnsi="Garamond"/>
          <w:rtl w:val="0"/>
        </w:rPr>
        <w:t xml:space="preserve">[1] Zhou, G., Chen, L., Chao, Y., Li, X., Luo, G., Zhu, W., 2021. Progress in electrochemical lithium ion pumping for lithium recovery. J. Energy Chem. 59, 431–445.</w:t>
      </w:r>
    </w:p>
    <w:p w:rsidR="00000000" w:rsidDel="00000000" w:rsidP="00000000" w:rsidRDefault="00000000" w:rsidRPr="00000000" w14:paraId="0000000E">
      <w:pPr>
        <w:jc w:val="both"/>
        <w:rPr>
          <w:rFonts w:ascii="Garamond" w:cs="Garamond" w:eastAsia="Garamond" w:hAnsi="Garamond"/>
        </w:rPr>
      </w:pPr>
      <w:r w:rsidDel="00000000" w:rsidR="00000000" w:rsidRPr="00000000">
        <w:rPr>
          <w:rFonts w:ascii="Garamond" w:cs="Garamond" w:eastAsia="Garamond" w:hAnsi="Garamond"/>
          <w:rtl w:val="0"/>
        </w:rPr>
        <w:t xml:space="preserve">[2] Battistel, A., Palagonia, M.S., Brogioli, D., La Mantia, F., Trócoli, R., 2020. Electrochemical Methods for Lithium Recovery: A Comprehensive and Critical Review. Adv. Mater. 32, 1905440.</w:t>
      </w:r>
    </w:p>
    <w:sectPr>
      <w:headerReference r:id="rId6" w:type="default"/>
      <w:footerReference r:id="rId7" w:type="default"/>
      <w:pgSz w:h="16840" w:w="11907" w:orient="portrait"/>
      <w:pgMar w:bottom="1701" w:top="1701"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Garamond"/>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4">
    <w:pPr>
      <w:keepNext w:val="0"/>
      <w:keepLines w:val="0"/>
      <w:widowControl w:val="1"/>
      <w:pBdr>
        <w:top w:color="000000" w:space="1" w:sz="4" w:val="single"/>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1"/>
      <w:tblW w:w="8475.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745"/>
      <w:gridCol w:w="5730"/>
      <w:tblGridChange w:id="0">
        <w:tblGrid>
          <w:gridCol w:w="2745"/>
          <w:gridCol w:w="5730"/>
        </w:tblGrid>
      </w:tblGridChange>
    </w:tblGrid>
    <w:tr>
      <w:trPr>
        <w:cantSplit w:val="0"/>
        <w:tblHeader w:val="0"/>
      </w:trPr>
      <w:tc>
        <w:tcPr/>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 w:val="left" w:pos="4253"/>
              <w:tab w:val="center" w:pos="4395"/>
            </w:tabs>
            <w:spacing w:after="0" w:before="0" w:line="276" w:lineRule="auto"/>
            <w:ind w:left="-536"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0" distT="0" distL="0" distR="0">
                <wp:extent cx="1757367" cy="98805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57367" cy="988054"/>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 w:val="left" w:pos="4253"/>
              <w:tab w:val="center" w:pos="4395"/>
            </w:tabs>
            <w:spacing w:after="0" w:before="0" w:line="240" w:lineRule="auto"/>
            <w:ind w:left="-167" w:right="0" w:firstLine="0"/>
            <w:jc w:val="center"/>
            <w:rPr>
              <w:rFonts w:ascii="Garamond" w:cs="Garamond" w:eastAsia="Garamond" w:hAnsi="Garamond"/>
              <w:b w:val="1"/>
              <w:i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1"/>
              <w:i w:val="0"/>
              <w:smallCaps w:val="0"/>
              <w:strike w:val="0"/>
              <w:color w:val="000000"/>
              <w:sz w:val="28"/>
              <w:szCs w:val="28"/>
              <w:u w:val="none"/>
              <w:shd w:fill="auto" w:val="clear"/>
              <w:vertAlign w:val="baseline"/>
              <w:rtl w:val="0"/>
            </w:rPr>
            <w:t xml:space="preserve">XLII Reunión del Grupo Especializado de Electroquímica de la RSEQ (42 GERSEQ 2022)</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 w:val="left" w:pos="4253"/>
              <w:tab w:val="center" w:pos="4395"/>
            </w:tabs>
            <w:spacing w:after="0" w:before="0" w:line="240" w:lineRule="auto"/>
            <w:ind w:left="0" w:right="0" w:firstLine="0"/>
            <w:jc w:val="center"/>
            <w:rPr>
              <w:rFonts w:ascii="Garamond" w:cs="Garamond" w:eastAsia="Garamond" w:hAnsi="Garamond"/>
              <w:b w:val="1"/>
              <w:i w:val="0"/>
              <w:smallCaps w:val="0"/>
              <w:strike w:val="0"/>
              <w:color w:val="000000"/>
              <w:sz w:val="32"/>
              <w:szCs w:val="32"/>
              <w:u w:val="none"/>
              <w:shd w:fill="auto" w:val="clear"/>
              <w:vertAlign w:val="baseline"/>
            </w:rPr>
          </w:pPr>
          <w:r w:rsidDel="00000000" w:rsidR="00000000" w:rsidRPr="00000000">
            <w:rPr>
              <w:rFonts w:ascii="Garamond" w:cs="Garamond" w:eastAsia="Garamond" w:hAnsi="Garamond"/>
              <w:b w:val="1"/>
              <w:i w:val="0"/>
              <w:smallCaps w:val="0"/>
              <w:strike w:val="0"/>
              <w:color w:val="000000"/>
              <w:sz w:val="28"/>
              <w:szCs w:val="28"/>
              <w:u w:val="none"/>
              <w:shd w:fill="auto" w:val="clear"/>
              <w:vertAlign w:val="baseline"/>
              <w:rtl w:val="0"/>
            </w:rPr>
            <w:t xml:space="preserve">Santander, 6-8 Julio 2022</w:t>
          </w:r>
          <w:r w:rsidDel="00000000" w:rsidR="00000000" w:rsidRPr="00000000">
            <w:rPr>
              <w:rtl w:val="0"/>
            </w:rPr>
          </w:r>
        </w:p>
      </w:tc>
    </w:tr>
  </w:tbl>
  <w:p w:rsidR="00000000" w:rsidDel="00000000" w:rsidP="00000000" w:rsidRDefault="00000000" w:rsidRPr="00000000" w14:paraId="00000013">
    <w:pPr>
      <w:keepNext w:val="0"/>
      <w:keepLines w:val="0"/>
      <w:widowControl w:val="1"/>
      <w:pBdr>
        <w:top w:color="000000" w:space="1" w:sz="4" w:val="single"/>
        <w:left w:space="0" w:sz="0" w:val="nil"/>
        <w:bottom w:space="0" w:sz="0" w:val="nil"/>
        <w:right w:space="0" w:sz="0" w:val="nil"/>
        <w:between w:space="0" w:sz="0" w:val="nil"/>
      </w:pBdr>
      <w:shd w:fill="auto" w:val="clear"/>
      <w:tabs>
        <w:tab w:val="center" w:pos="4252"/>
        <w:tab w:val="right" w:pos="8504"/>
      </w:tabs>
      <w:spacing w:after="0" w:before="0" w:line="48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both"/>
    </w:pPr>
    <w:rPr>
      <w:sz w:val="24"/>
      <w:szCs w:val="2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jc w:val="center"/>
    </w:pPr>
    <w:rPr>
      <w:b w:val="1"/>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