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99B" w:rsidRPr="00DE47A0" w:rsidRDefault="00A24674" w:rsidP="007379A4">
      <w:pPr>
        <w:pStyle w:val="Ttulo"/>
        <w:spacing w:before="120"/>
        <w:rPr>
          <w:rFonts w:asciiTheme="minorHAnsi" w:hAnsiTheme="minorHAnsi"/>
        </w:rPr>
      </w:pPr>
      <w:bookmarkStart w:id="0" w:name="_GoBack"/>
      <w:bookmarkEnd w:id="0"/>
      <w:r>
        <w:rPr>
          <w:rFonts w:asciiTheme="minorHAnsi" w:hAnsiTheme="minorHAnsi"/>
        </w:rPr>
        <w:t xml:space="preserve">Influence of </w:t>
      </w:r>
      <w:r w:rsidR="00DE47A0" w:rsidRPr="00DE47A0">
        <w:rPr>
          <w:rFonts w:asciiTheme="minorHAnsi" w:hAnsiTheme="minorHAnsi"/>
        </w:rPr>
        <w:t xml:space="preserve">Interfacial Properties </w:t>
      </w:r>
      <w:r w:rsidR="00D33951">
        <w:rPr>
          <w:rFonts w:asciiTheme="minorHAnsi" w:hAnsiTheme="minorHAnsi"/>
        </w:rPr>
        <w:t>on</w:t>
      </w:r>
      <w:r w:rsidR="00BC1DED">
        <w:rPr>
          <w:rFonts w:asciiTheme="minorHAnsi" w:hAnsiTheme="minorHAnsi"/>
        </w:rPr>
        <w:t xml:space="preserve"> </w:t>
      </w:r>
      <w:r w:rsidR="00D33951">
        <w:rPr>
          <w:rFonts w:asciiTheme="minorHAnsi" w:hAnsiTheme="minorHAnsi"/>
        </w:rPr>
        <w:t>the</w:t>
      </w:r>
      <w:r w:rsidR="00BC1DED">
        <w:rPr>
          <w:rFonts w:asciiTheme="minorHAnsi" w:hAnsiTheme="minorHAnsi"/>
        </w:rPr>
        <w:t xml:space="preserve"> </w:t>
      </w:r>
      <w:r w:rsidR="00D33951">
        <w:rPr>
          <w:rFonts w:asciiTheme="minorHAnsi" w:hAnsiTheme="minorHAnsi"/>
        </w:rPr>
        <w:t>Electrocatalytic</w:t>
      </w:r>
      <w:r w:rsidR="00BC1DED">
        <w:rPr>
          <w:rFonts w:asciiTheme="minorHAnsi" w:hAnsiTheme="minorHAnsi"/>
        </w:rPr>
        <w:t xml:space="preserve"> </w:t>
      </w:r>
      <w:r>
        <w:rPr>
          <w:rFonts w:asciiTheme="minorHAnsi" w:hAnsiTheme="minorHAnsi"/>
        </w:rPr>
        <w:t>Behavior</w:t>
      </w:r>
      <w:r w:rsidR="00BC1DED">
        <w:rPr>
          <w:rFonts w:asciiTheme="minorHAnsi" w:hAnsiTheme="minorHAnsi"/>
        </w:rPr>
        <w:t xml:space="preserve"> </w:t>
      </w:r>
      <w:r w:rsidRPr="00DE47A0">
        <w:rPr>
          <w:rFonts w:asciiTheme="minorHAnsi" w:hAnsiTheme="minorHAnsi"/>
        </w:rPr>
        <w:t>of Platinum Electrodes</w:t>
      </w:r>
    </w:p>
    <w:p w:rsidR="00EC099B" w:rsidRPr="00DE47A0" w:rsidRDefault="00EC099B">
      <w:pPr>
        <w:jc w:val="both"/>
        <w:rPr>
          <w:rFonts w:asciiTheme="minorHAnsi" w:hAnsiTheme="minorHAnsi"/>
          <w:sz w:val="24"/>
        </w:rPr>
      </w:pPr>
    </w:p>
    <w:p w:rsidR="00EC099B" w:rsidRPr="005B6B45" w:rsidRDefault="00D47A8C" w:rsidP="00567107">
      <w:pPr>
        <w:jc w:val="center"/>
        <w:rPr>
          <w:rFonts w:asciiTheme="minorHAnsi" w:hAnsiTheme="minorHAnsi"/>
          <w:sz w:val="24"/>
          <w:lang w:val="es-ES"/>
        </w:rPr>
      </w:pPr>
      <w:r>
        <w:rPr>
          <w:rFonts w:asciiTheme="minorHAnsi" w:hAnsiTheme="minorHAnsi"/>
          <w:sz w:val="24"/>
          <w:lang w:val="es-ES"/>
        </w:rPr>
        <w:t>Ricardo Martínez-Hincapié</w:t>
      </w:r>
    </w:p>
    <w:p w:rsidR="00EC099B" w:rsidRPr="005B6B45" w:rsidRDefault="00D47A8C">
      <w:pPr>
        <w:jc w:val="center"/>
        <w:rPr>
          <w:rFonts w:asciiTheme="minorHAnsi" w:hAnsiTheme="minorHAnsi"/>
          <w:i/>
          <w:iCs/>
          <w:sz w:val="24"/>
          <w:lang w:val="es-ES"/>
        </w:rPr>
      </w:pPr>
      <w:r>
        <w:rPr>
          <w:rFonts w:asciiTheme="minorHAnsi" w:hAnsiTheme="minorHAnsi"/>
          <w:i/>
          <w:iCs/>
          <w:sz w:val="24"/>
          <w:lang w:val="es-ES"/>
        </w:rPr>
        <w:t>Instituto de Electroquímica. Universidad De Alicante</w:t>
      </w:r>
    </w:p>
    <w:p w:rsidR="00EC099B" w:rsidRPr="005B6B45" w:rsidRDefault="00D47A8C">
      <w:pPr>
        <w:jc w:val="center"/>
        <w:rPr>
          <w:rFonts w:asciiTheme="minorHAnsi" w:hAnsiTheme="minorHAnsi"/>
          <w:i/>
          <w:iCs/>
          <w:sz w:val="24"/>
          <w:lang w:val="es-ES"/>
        </w:rPr>
      </w:pPr>
      <w:r w:rsidRPr="00FF5A65">
        <w:rPr>
          <w:lang w:val="es-ES"/>
        </w:rPr>
        <w:t>ricuardomartin@gmail.com</w:t>
      </w:r>
    </w:p>
    <w:p w:rsidR="005B6B45" w:rsidRPr="005B6B45" w:rsidRDefault="005B6B45" w:rsidP="005B6B45">
      <w:pPr>
        <w:jc w:val="both"/>
        <w:rPr>
          <w:rFonts w:asciiTheme="minorHAnsi" w:hAnsiTheme="minorHAnsi"/>
          <w:sz w:val="24"/>
          <w:lang w:val="es-ES"/>
        </w:rPr>
      </w:pPr>
    </w:p>
    <w:p w:rsidR="00143626" w:rsidRPr="00FF5A65" w:rsidRDefault="00567107" w:rsidP="007379A4">
      <w:pPr>
        <w:jc w:val="both"/>
        <w:rPr>
          <w:rFonts w:asciiTheme="minorHAnsi" w:hAnsiTheme="minorHAnsi"/>
          <w:sz w:val="24"/>
        </w:rPr>
      </w:pPr>
      <w:r w:rsidRPr="00FF5A65">
        <w:rPr>
          <w:rFonts w:asciiTheme="minorHAnsi" w:hAnsiTheme="minorHAnsi"/>
          <w:b/>
          <w:sz w:val="24"/>
        </w:rPr>
        <w:t>ABSTRACT</w:t>
      </w:r>
    </w:p>
    <w:p w:rsidR="00143626" w:rsidRPr="00FF5A65" w:rsidRDefault="00143626" w:rsidP="007379A4">
      <w:pPr>
        <w:jc w:val="both"/>
        <w:rPr>
          <w:rFonts w:asciiTheme="minorHAnsi" w:hAnsiTheme="minorHAnsi"/>
          <w:sz w:val="24"/>
        </w:rPr>
      </w:pPr>
    </w:p>
    <w:p w:rsidR="00997877" w:rsidRDefault="00244A54" w:rsidP="003A4675">
      <w:pPr>
        <w:spacing w:after="120"/>
        <w:jc w:val="both"/>
        <w:rPr>
          <w:rFonts w:asciiTheme="minorHAnsi" w:hAnsiTheme="minorHAnsi" w:cs="Arial"/>
          <w:color w:val="212121"/>
          <w:sz w:val="24"/>
          <w:szCs w:val="24"/>
          <w:shd w:val="clear" w:color="auto" w:fill="FFFFFF"/>
        </w:rPr>
      </w:pPr>
      <w:r>
        <w:rPr>
          <w:rFonts w:asciiTheme="minorHAnsi" w:hAnsiTheme="minorHAnsi" w:cs="Arial"/>
          <w:color w:val="212121"/>
          <w:sz w:val="24"/>
          <w:szCs w:val="24"/>
          <w:shd w:val="clear" w:color="auto" w:fill="FFFFFF"/>
        </w:rPr>
        <w:t>Platinum group</w:t>
      </w:r>
      <w:r w:rsidR="00C21686">
        <w:rPr>
          <w:rFonts w:asciiTheme="minorHAnsi" w:hAnsiTheme="minorHAnsi" w:cs="Arial"/>
          <w:color w:val="212121"/>
          <w:sz w:val="24"/>
          <w:szCs w:val="24"/>
          <w:shd w:val="clear" w:color="auto" w:fill="FFFFFF"/>
        </w:rPr>
        <w:t xml:space="preserve"> metals adsorb hydrogen </w:t>
      </w:r>
      <w:r>
        <w:rPr>
          <w:rFonts w:asciiTheme="minorHAnsi" w:hAnsiTheme="minorHAnsi" w:cs="Arial"/>
          <w:color w:val="212121"/>
          <w:sz w:val="24"/>
          <w:szCs w:val="24"/>
          <w:shd w:val="clear" w:color="auto" w:fill="FFFFFF"/>
        </w:rPr>
        <w:t>and/or</w:t>
      </w:r>
      <w:r w:rsidR="00C21686">
        <w:rPr>
          <w:rFonts w:asciiTheme="minorHAnsi" w:hAnsiTheme="minorHAnsi" w:cs="Arial"/>
          <w:color w:val="212121"/>
          <w:sz w:val="24"/>
          <w:szCs w:val="24"/>
          <w:shd w:val="clear" w:color="auto" w:fill="FFFFFF"/>
        </w:rPr>
        <w:t xml:space="preserve"> other species </w:t>
      </w:r>
      <w:r>
        <w:rPr>
          <w:rFonts w:asciiTheme="minorHAnsi" w:hAnsiTheme="minorHAnsi" w:cs="Arial"/>
          <w:color w:val="212121"/>
          <w:sz w:val="24"/>
          <w:szCs w:val="24"/>
          <w:shd w:val="clear" w:color="auto" w:fill="FFFFFF"/>
        </w:rPr>
        <w:t>in characteristic pseudocapacitive processes. For this reason</w:t>
      </w:r>
      <w:r w:rsidR="00B269B0">
        <w:rPr>
          <w:rFonts w:asciiTheme="minorHAnsi" w:hAnsiTheme="minorHAnsi" w:cs="Arial"/>
          <w:color w:val="212121"/>
          <w:sz w:val="24"/>
          <w:szCs w:val="24"/>
          <w:shd w:val="clear" w:color="auto" w:fill="FFFFFF"/>
        </w:rPr>
        <w:t>,</w:t>
      </w:r>
      <w:r>
        <w:rPr>
          <w:rFonts w:asciiTheme="minorHAnsi" w:hAnsiTheme="minorHAnsi" w:cs="Arial"/>
          <w:color w:val="212121"/>
          <w:sz w:val="24"/>
          <w:szCs w:val="24"/>
          <w:shd w:val="clear" w:color="auto" w:fill="FFFFFF"/>
        </w:rPr>
        <w:t xml:space="preserve"> the usual Gouy-Chapman behavior is not </w:t>
      </w:r>
      <w:r w:rsidR="00B269B0">
        <w:rPr>
          <w:rFonts w:asciiTheme="minorHAnsi" w:hAnsiTheme="minorHAnsi" w:cs="Arial"/>
          <w:color w:val="212121"/>
          <w:sz w:val="24"/>
          <w:szCs w:val="24"/>
          <w:shd w:val="clear" w:color="auto" w:fill="FFFFFF"/>
        </w:rPr>
        <w:t xml:space="preserve">usually </w:t>
      </w:r>
      <w:r>
        <w:rPr>
          <w:rFonts w:asciiTheme="minorHAnsi" w:hAnsiTheme="minorHAnsi" w:cs="Arial"/>
          <w:color w:val="212121"/>
          <w:sz w:val="24"/>
          <w:szCs w:val="24"/>
          <w:shd w:val="clear" w:color="auto" w:fill="FFFFFF"/>
        </w:rPr>
        <w:t xml:space="preserve">available to define the potential of zero charge (pzc). Instead, </w:t>
      </w:r>
      <w:r w:rsidR="00C21686">
        <w:rPr>
          <w:rFonts w:asciiTheme="minorHAnsi" w:hAnsiTheme="minorHAnsi" w:cs="Arial"/>
          <w:color w:val="212121"/>
          <w:sz w:val="24"/>
          <w:szCs w:val="24"/>
          <w:shd w:val="clear" w:color="auto" w:fill="FFFFFF"/>
        </w:rPr>
        <w:t>two p</w:t>
      </w:r>
      <w:r w:rsidR="00C95E0F">
        <w:rPr>
          <w:rFonts w:asciiTheme="minorHAnsi" w:hAnsiTheme="minorHAnsi" w:cs="Arial"/>
          <w:color w:val="212121"/>
          <w:sz w:val="24"/>
          <w:szCs w:val="24"/>
          <w:shd w:val="clear" w:color="auto" w:fill="FFFFFF"/>
        </w:rPr>
        <w:t>otential</w:t>
      </w:r>
      <w:r>
        <w:rPr>
          <w:rFonts w:asciiTheme="minorHAnsi" w:hAnsiTheme="minorHAnsi" w:cs="Arial"/>
          <w:color w:val="212121"/>
          <w:sz w:val="24"/>
          <w:szCs w:val="24"/>
          <w:shd w:val="clear" w:color="auto" w:fill="FFFFFF"/>
        </w:rPr>
        <w:t>s</w:t>
      </w:r>
      <w:r w:rsidR="00C95E0F">
        <w:rPr>
          <w:rFonts w:asciiTheme="minorHAnsi" w:hAnsiTheme="minorHAnsi" w:cs="Arial"/>
          <w:color w:val="212121"/>
          <w:sz w:val="24"/>
          <w:szCs w:val="24"/>
          <w:shd w:val="clear" w:color="auto" w:fill="FFFFFF"/>
        </w:rPr>
        <w:t xml:space="preserve"> of zero charge</w:t>
      </w:r>
      <w:r w:rsidR="00C21686">
        <w:rPr>
          <w:rFonts w:asciiTheme="minorHAnsi" w:hAnsiTheme="minorHAnsi" w:cs="Arial"/>
          <w:color w:val="212121"/>
          <w:sz w:val="24"/>
          <w:szCs w:val="24"/>
          <w:shd w:val="clear" w:color="auto" w:fill="FFFFFF"/>
        </w:rPr>
        <w:t xml:space="preserve"> are defined: </w:t>
      </w:r>
      <w:r>
        <w:rPr>
          <w:rFonts w:asciiTheme="minorHAnsi" w:hAnsiTheme="minorHAnsi" w:cs="Arial"/>
          <w:color w:val="212121"/>
          <w:sz w:val="24"/>
          <w:szCs w:val="24"/>
          <w:shd w:val="clear" w:color="auto" w:fill="FFFFFF"/>
        </w:rPr>
        <w:t xml:space="preserve">the </w:t>
      </w:r>
      <w:r w:rsidR="00C21686">
        <w:rPr>
          <w:rFonts w:asciiTheme="minorHAnsi" w:hAnsiTheme="minorHAnsi" w:cs="Arial"/>
          <w:color w:val="212121"/>
          <w:sz w:val="24"/>
          <w:szCs w:val="24"/>
          <w:shd w:val="clear" w:color="auto" w:fill="FFFFFF"/>
        </w:rPr>
        <w:t xml:space="preserve">potential of zero total charge (pztc) and </w:t>
      </w:r>
      <w:r>
        <w:rPr>
          <w:rFonts w:asciiTheme="minorHAnsi" w:hAnsiTheme="minorHAnsi" w:cs="Arial"/>
          <w:color w:val="212121"/>
          <w:sz w:val="24"/>
          <w:szCs w:val="24"/>
          <w:shd w:val="clear" w:color="auto" w:fill="FFFFFF"/>
        </w:rPr>
        <w:t xml:space="preserve">the </w:t>
      </w:r>
      <w:r w:rsidR="00C21686">
        <w:rPr>
          <w:rFonts w:asciiTheme="minorHAnsi" w:hAnsiTheme="minorHAnsi" w:cs="Arial"/>
          <w:color w:val="212121"/>
          <w:sz w:val="24"/>
          <w:szCs w:val="24"/>
          <w:shd w:val="clear" w:color="auto" w:fill="FFFFFF"/>
        </w:rPr>
        <w:t>potential of zero free charge (pzfc)</w:t>
      </w:r>
      <w:r w:rsidR="001838AF">
        <w:rPr>
          <w:rFonts w:asciiTheme="minorHAnsi" w:hAnsiTheme="minorHAnsi" w:cs="Arial"/>
          <w:color w:val="212121"/>
          <w:sz w:val="24"/>
          <w:szCs w:val="24"/>
          <w:shd w:val="clear" w:color="auto" w:fill="FFFFFF"/>
        </w:rPr>
        <w:fldChar w:fldCharType="begin" w:fldLock="1"/>
      </w:r>
      <w:r w:rsidR="004B4308">
        <w:rPr>
          <w:rFonts w:asciiTheme="minorHAnsi" w:hAnsiTheme="minorHAnsi" w:cs="Arial"/>
          <w:color w:val="212121"/>
          <w:sz w:val="24"/>
          <w:szCs w:val="24"/>
          <w:shd w:val="clear" w:color="auto" w:fill="FFFFFF"/>
        </w:rPr>
        <w:instrText>ADDIN CSL_CITATION { "citationItems" : [ { "id" : "ITEM-1", "itemData" : { "DOI" : "10.1016/0013-4686(75)90017-1", "ISSN" : "00134686", "abstract" : "Some fundamental definitions and relations of the thermodynamic theory of the platinum electrode are considered. The notions of the potential of zero total charge (pztc) of the first and second kind are discussed. It is shown that in the presence of excess of surface-inactive ions, the potential of zero total charge of the second kind can be regarded as the potential of zero free charge (pzfc). The pzfc is an analogue of the pzc of metals not adsorbing hydrogen and oxygen. The methods of determination of the pztc and the pzfc of platinum metals, of their dependence on solution pH and salt concentration are considered, as well as the dependence of the pzfc on surface coverage with adsorbed hydrogen. Tables listing the pztc and the pzfc of platinum metals are given. The conditional nature of the notions pzfc and the charge of the double layer in the presence of strong chemisorption of ions is demonstrated and the difference between the formal and the true coefficients of charge transfer is emphasized. The notion of the charging curves and electrocapillary curves of the first and second kind is introduced and the methods of their finding are discussed. The electrocapillary curves of the first and second kind are given for platinum in solutions of different composition.", "author" : [ { "dropping-particle" : "", "family" : "Frumkin", "given" : "a.N.", "non-dropping-particle" : "", "parse-names" : false, "suffix" : "" }, { "dropping-particle" : "", "family" : "Petrii", "given" : "O.a.", "non-dropping-particle" : "", "parse-names" : false, "suffix" : "" } ], "container-title" : "Electrochimica Acta", "id" : "ITEM-1", "issue" : "5", "issued" : { "date-parts" : [ [ "1975" ] ] }, "page" : "347-359", "title" : "Potentials of zero total and zero free charge of platinum group metals", "type" : "article-journal", "volume" : "20" }, "uris" : [ "http://www.mendeley.com/documents/?uuid=95620734-3791-4932-9532-6b7200a143b9" ] } ], "mendeley" : { "formattedCitation" : "&lt;sup&gt;1&lt;/sup&gt;", "plainTextFormattedCitation" : "1", "previouslyFormattedCitation" : "&lt;sup&gt;1&lt;/sup&gt;" }, "properties" : { "noteIndex" : 0 }, "schema" : "https://github.com/citation-style-language/schema/raw/master/csl-citation.json" }</w:instrText>
      </w:r>
      <w:r w:rsidR="001838AF">
        <w:rPr>
          <w:rFonts w:asciiTheme="minorHAnsi" w:hAnsiTheme="minorHAnsi" w:cs="Arial"/>
          <w:color w:val="212121"/>
          <w:sz w:val="24"/>
          <w:szCs w:val="24"/>
          <w:shd w:val="clear" w:color="auto" w:fill="FFFFFF"/>
        </w:rPr>
        <w:fldChar w:fldCharType="separate"/>
      </w:r>
      <w:r w:rsidR="001838AF" w:rsidRPr="001838AF">
        <w:rPr>
          <w:rFonts w:asciiTheme="minorHAnsi" w:hAnsiTheme="minorHAnsi" w:cs="Arial"/>
          <w:noProof/>
          <w:color w:val="212121"/>
          <w:sz w:val="24"/>
          <w:szCs w:val="24"/>
          <w:shd w:val="clear" w:color="auto" w:fill="FFFFFF"/>
          <w:vertAlign w:val="superscript"/>
        </w:rPr>
        <w:t>1</w:t>
      </w:r>
      <w:r w:rsidR="001838AF">
        <w:rPr>
          <w:rFonts w:asciiTheme="minorHAnsi" w:hAnsiTheme="minorHAnsi" w:cs="Arial"/>
          <w:color w:val="212121"/>
          <w:sz w:val="24"/>
          <w:szCs w:val="24"/>
          <w:shd w:val="clear" w:color="auto" w:fill="FFFFFF"/>
        </w:rPr>
        <w:fldChar w:fldCharType="end"/>
      </w:r>
      <w:r w:rsidR="00C21686">
        <w:rPr>
          <w:rFonts w:asciiTheme="minorHAnsi" w:hAnsiTheme="minorHAnsi" w:cs="Arial"/>
          <w:color w:val="212121"/>
          <w:sz w:val="24"/>
          <w:szCs w:val="24"/>
          <w:shd w:val="clear" w:color="auto" w:fill="FFFFFF"/>
        </w:rPr>
        <w:t>.</w:t>
      </w:r>
      <w:r w:rsidR="001E23B2">
        <w:rPr>
          <w:rFonts w:asciiTheme="minorHAnsi" w:hAnsiTheme="minorHAnsi" w:cs="Arial"/>
          <w:color w:val="212121"/>
          <w:sz w:val="24"/>
          <w:szCs w:val="24"/>
          <w:shd w:val="clear" w:color="auto" w:fill="FFFFFF"/>
        </w:rPr>
        <w:t xml:space="preserve"> The former considers the faradic </w:t>
      </w:r>
      <w:r>
        <w:rPr>
          <w:rFonts w:asciiTheme="minorHAnsi" w:hAnsiTheme="minorHAnsi" w:cs="Arial"/>
          <w:color w:val="212121"/>
          <w:sz w:val="24"/>
          <w:szCs w:val="24"/>
          <w:shd w:val="clear" w:color="auto" w:fill="FFFFFF"/>
        </w:rPr>
        <w:t xml:space="preserve">and capacitive </w:t>
      </w:r>
      <w:r w:rsidR="001E23B2">
        <w:rPr>
          <w:rFonts w:asciiTheme="minorHAnsi" w:hAnsiTheme="minorHAnsi" w:cs="Arial"/>
          <w:color w:val="212121"/>
          <w:sz w:val="24"/>
          <w:szCs w:val="24"/>
          <w:shd w:val="clear" w:color="auto" w:fill="FFFFFF"/>
        </w:rPr>
        <w:t>charge</w:t>
      </w:r>
      <w:r>
        <w:rPr>
          <w:rFonts w:asciiTheme="minorHAnsi" w:hAnsiTheme="minorHAnsi" w:cs="Arial"/>
          <w:color w:val="212121"/>
          <w:sz w:val="24"/>
          <w:szCs w:val="24"/>
          <w:shd w:val="clear" w:color="auto" w:fill="FFFFFF"/>
        </w:rPr>
        <w:t>s</w:t>
      </w:r>
      <w:r w:rsidR="001E23B2">
        <w:rPr>
          <w:rFonts w:asciiTheme="minorHAnsi" w:hAnsiTheme="minorHAnsi" w:cs="Arial"/>
          <w:color w:val="212121"/>
          <w:sz w:val="24"/>
          <w:szCs w:val="24"/>
          <w:shd w:val="clear" w:color="auto" w:fill="FFFFFF"/>
        </w:rPr>
        <w:t xml:space="preserve"> involved in the adsorption</w:t>
      </w:r>
      <w:r w:rsidR="004863C0">
        <w:rPr>
          <w:rFonts w:asciiTheme="minorHAnsi" w:hAnsiTheme="minorHAnsi" w:cs="Arial"/>
          <w:color w:val="212121"/>
          <w:sz w:val="24"/>
          <w:szCs w:val="24"/>
          <w:shd w:val="clear" w:color="auto" w:fill="FFFFFF"/>
        </w:rPr>
        <w:t>. The latter correspond</w:t>
      </w:r>
      <w:r>
        <w:rPr>
          <w:rFonts w:asciiTheme="minorHAnsi" w:hAnsiTheme="minorHAnsi" w:cs="Arial"/>
          <w:color w:val="212121"/>
          <w:sz w:val="24"/>
          <w:szCs w:val="24"/>
          <w:shd w:val="clear" w:color="auto" w:fill="FFFFFF"/>
        </w:rPr>
        <w:t>s</w:t>
      </w:r>
      <w:r w:rsidR="00505515">
        <w:rPr>
          <w:rFonts w:asciiTheme="minorHAnsi" w:hAnsiTheme="minorHAnsi" w:cs="Arial"/>
          <w:color w:val="212121"/>
          <w:sz w:val="24"/>
          <w:szCs w:val="24"/>
          <w:shd w:val="clear" w:color="auto" w:fill="FFFFFF"/>
        </w:rPr>
        <w:t xml:space="preserve">to the </w:t>
      </w:r>
      <w:r>
        <w:rPr>
          <w:rFonts w:asciiTheme="minorHAnsi" w:hAnsiTheme="minorHAnsi" w:cs="Arial"/>
          <w:color w:val="212121"/>
          <w:sz w:val="24"/>
          <w:szCs w:val="24"/>
          <w:shd w:val="clear" w:color="auto" w:fill="FFFFFF"/>
        </w:rPr>
        <w:t>situation in which</w:t>
      </w:r>
      <w:r w:rsidR="00505515">
        <w:rPr>
          <w:rFonts w:asciiTheme="minorHAnsi" w:hAnsiTheme="minorHAnsi" w:cs="Arial"/>
          <w:color w:val="212121"/>
          <w:sz w:val="24"/>
          <w:szCs w:val="24"/>
          <w:shd w:val="clear" w:color="auto" w:fill="FFFFFF"/>
        </w:rPr>
        <w:t xml:space="preserve"> the electronic charge density is </w:t>
      </w:r>
      <w:r w:rsidR="00054459">
        <w:rPr>
          <w:rFonts w:asciiTheme="minorHAnsi" w:hAnsiTheme="minorHAnsi" w:cs="Arial"/>
          <w:color w:val="212121"/>
          <w:sz w:val="24"/>
          <w:szCs w:val="24"/>
          <w:shd w:val="clear" w:color="auto" w:fill="FFFFFF"/>
        </w:rPr>
        <w:t xml:space="preserve">actually </w:t>
      </w:r>
      <w:r w:rsidR="00505515">
        <w:rPr>
          <w:rFonts w:asciiTheme="minorHAnsi" w:hAnsiTheme="minorHAnsi" w:cs="Arial"/>
          <w:color w:val="212121"/>
          <w:sz w:val="24"/>
          <w:szCs w:val="24"/>
          <w:shd w:val="clear" w:color="auto" w:fill="FFFFFF"/>
        </w:rPr>
        <w:t xml:space="preserve">zero. </w:t>
      </w:r>
      <w:r w:rsidR="00C21686">
        <w:rPr>
          <w:rFonts w:asciiTheme="minorHAnsi" w:hAnsiTheme="minorHAnsi" w:cs="Arial"/>
          <w:color w:val="212121"/>
          <w:sz w:val="24"/>
          <w:szCs w:val="24"/>
          <w:shd w:val="clear" w:color="auto" w:fill="FFFFFF"/>
        </w:rPr>
        <w:t>The pzfc is not accessibly experimentally, but can be calculated from pztc</w:t>
      </w:r>
      <w:r w:rsidR="00BC1DED">
        <w:rPr>
          <w:rFonts w:asciiTheme="minorHAnsi" w:hAnsiTheme="minorHAnsi" w:cs="Arial"/>
          <w:color w:val="212121"/>
          <w:sz w:val="24"/>
          <w:szCs w:val="24"/>
          <w:shd w:val="clear" w:color="auto" w:fill="FFFFFF"/>
        </w:rPr>
        <w:t xml:space="preserve"> </w:t>
      </w:r>
      <w:r>
        <w:rPr>
          <w:rFonts w:asciiTheme="minorHAnsi" w:hAnsiTheme="minorHAnsi" w:cs="Arial"/>
          <w:color w:val="212121"/>
          <w:sz w:val="24"/>
          <w:szCs w:val="24"/>
          <w:shd w:val="clear" w:color="auto" w:fill="FFFFFF"/>
        </w:rPr>
        <w:t>under some reasonable assumption</w:t>
      </w:r>
      <w:r w:rsidR="00CE5764">
        <w:rPr>
          <w:rFonts w:asciiTheme="minorHAnsi" w:hAnsiTheme="minorHAnsi" w:cs="Arial"/>
          <w:color w:val="212121"/>
          <w:sz w:val="24"/>
          <w:szCs w:val="24"/>
          <w:shd w:val="clear" w:color="auto" w:fill="FFFFFF"/>
        </w:rPr>
        <w:t>s</w:t>
      </w:r>
      <w:r w:rsidR="004B4308">
        <w:rPr>
          <w:rFonts w:asciiTheme="minorHAnsi" w:hAnsiTheme="minorHAnsi" w:cs="Arial"/>
          <w:color w:val="212121"/>
          <w:sz w:val="24"/>
          <w:szCs w:val="24"/>
          <w:shd w:val="clear" w:color="auto" w:fill="FFFFFF"/>
          <w:vertAlign w:val="superscript"/>
        </w:rPr>
        <w:fldChar w:fldCharType="begin" w:fldLock="1"/>
      </w:r>
      <w:r w:rsidR="004B4308">
        <w:rPr>
          <w:rFonts w:asciiTheme="minorHAnsi" w:hAnsiTheme="minorHAnsi" w:cs="Arial"/>
          <w:color w:val="212121"/>
          <w:sz w:val="24"/>
          <w:szCs w:val="24"/>
          <w:shd w:val="clear" w:color="auto" w:fill="FFFFFF"/>
          <w:vertAlign w:val="superscript"/>
        </w:rPr>
        <w:instrText>ADDIN CSL_CITATION { "citationItems" : [ { "id" : "ITEM-1", "itemData" : { "author" : [ { "dropping-particle" : "", "family" : "Weaver", "given" : "Michael J", "non-dropping-particle" : "", "parse-names" : false, "suffix" : "" } ], "container-title" : "Langmuir", "id" : "ITEM-1", "issue" : "111", "issued" : { "date-parts" : [ [ "1998" ] ] }, "page" : "3932-3936", "title" : "Potentials of Zero Charge for Platinum ( 111 ) - Aqueous Interfaces : A Combined Assessment from In-Situ and Ultrahigh-Vacuum Measurements", "type" : "article-journal", "volume" : "7463" }, "uris" : [ "http://www.mendeley.com/documents/?uuid=a401dc96-e3c4-41fa-94ad-144db0e6e27b" ] } ], "mendeley" : { "formattedCitation" : "&lt;sup&gt;2&lt;/sup&gt;", "plainTextFormattedCitation" : "2" }, "properties" : { "noteIndex" : 0 }, "schema" : "https://github.com/citation-style-language/schema/raw/master/csl-citation.json" }</w:instrText>
      </w:r>
      <w:r w:rsidR="004B4308">
        <w:rPr>
          <w:rFonts w:asciiTheme="minorHAnsi" w:hAnsiTheme="minorHAnsi" w:cs="Arial"/>
          <w:color w:val="212121"/>
          <w:sz w:val="24"/>
          <w:szCs w:val="24"/>
          <w:shd w:val="clear" w:color="auto" w:fill="FFFFFF"/>
          <w:vertAlign w:val="superscript"/>
        </w:rPr>
        <w:fldChar w:fldCharType="separate"/>
      </w:r>
      <w:r w:rsidR="004B4308" w:rsidRPr="004B4308">
        <w:rPr>
          <w:rFonts w:asciiTheme="minorHAnsi" w:hAnsiTheme="minorHAnsi" w:cs="Arial"/>
          <w:noProof/>
          <w:color w:val="212121"/>
          <w:sz w:val="24"/>
          <w:szCs w:val="24"/>
          <w:shd w:val="clear" w:color="auto" w:fill="FFFFFF"/>
          <w:vertAlign w:val="superscript"/>
        </w:rPr>
        <w:t>2</w:t>
      </w:r>
      <w:r w:rsidR="004B4308">
        <w:rPr>
          <w:rFonts w:asciiTheme="minorHAnsi" w:hAnsiTheme="minorHAnsi" w:cs="Arial"/>
          <w:color w:val="212121"/>
          <w:sz w:val="24"/>
          <w:szCs w:val="24"/>
          <w:shd w:val="clear" w:color="auto" w:fill="FFFFFF"/>
          <w:vertAlign w:val="superscript"/>
        </w:rPr>
        <w:fldChar w:fldCharType="end"/>
      </w:r>
      <w:r w:rsidR="00CE5764">
        <w:rPr>
          <w:rFonts w:asciiTheme="minorHAnsi" w:hAnsiTheme="minorHAnsi" w:cs="Arial"/>
          <w:color w:val="212121"/>
          <w:sz w:val="24"/>
          <w:szCs w:val="24"/>
          <w:shd w:val="clear" w:color="auto" w:fill="FFFFFF"/>
        </w:rPr>
        <w:t xml:space="preserve">. </w:t>
      </w:r>
      <w:r w:rsidR="009A5857" w:rsidRPr="009A5857">
        <w:rPr>
          <w:rFonts w:asciiTheme="minorHAnsi" w:hAnsiTheme="minorHAnsi" w:cs="Arial"/>
          <w:color w:val="000000"/>
          <w:sz w:val="24"/>
          <w:szCs w:val="24"/>
        </w:rPr>
        <w:t xml:space="preserve">The interfacial properties of platinum single crystal electrodes </w:t>
      </w:r>
      <w:r w:rsidR="00680C92">
        <w:rPr>
          <w:rFonts w:asciiTheme="minorHAnsi" w:hAnsiTheme="minorHAnsi" w:cs="Arial"/>
          <w:color w:val="000000"/>
          <w:sz w:val="24"/>
          <w:szCs w:val="24"/>
        </w:rPr>
        <w:t>will</w:t>
      </w:r>
      <w:r w:rsidR="009A5857" w:rsidRPr="009A5857">
        <w:rPr>
          <w:rFonts w:asciiTheme="minorHAnsi" w:hAnsiTheme="minorHAnsi" w:cs="Arial"/>
          <w:color w:val="000000"/>
          <w:sz w:val="24"/>
          <w:szCs w:val="24"/>
        </w:rPr>
        <w:t xml:space="preserve"> be evaluated in solutions with no specific adsorbing ions under conditions of thermodynamic equilibrium in </w:t>
      </w:r>
      <w:r w:rsidR="004E4581" w:rsidRPr="009A5857">
        <w:rPr>
          <w:rFonts w:asciiTheme="minorHAnsi" w:hAnsiTheme="minorHAnsi" w:cs="Arial"/>
          <w:color w:val="000000"/>
          <w:sz w:val="24"/>
          <w:szCs w:val="24"/>
        </w:rPr>
        <w:t>an</w:t>
      </w:r>
      <w:r w:rsidR="004B4308">
        <w:rPr>
          <w:rFonts w:asciiTheme="minorHAnsi" w:hAnsiTheme="minorHAnsi" w:cs="Arial"/>
          <w:color w:val="000000"/>
          <w:sz w:val="24"/>
          <w:szCs w:val="24"/>
        </w:rPr>
        <w:t xml:space="preserve"> </w:t>
      </w:r>
      <w:r w:rsidR="006302E5">
        <w:rPr>
          <w:rFonts w:asciiTheme="minorHAnsi" w:hAnsiTheme="minorHAnsi" w:cs="Arial"/>
          <w:color w:val="000000"/>
          <w:sz w:val="24"/>
          <w:szCs w:val="24"/>
        </w:rPr>
        <w:t>extended</w:t>
      </w:r>
      <w:r w:rsidR="009A5857" w:rsidRPr="009A5857">
        <w:rPr>
          <w:rFonts w:asciiTheme="minorHAnsi" w:hAnsiTheme="minorHAnsi" w:cs="Arial"/>
          <w:color w:val="000000"/>
          <w:sz w:val="24"/>
          <w:szCs w:val="24"/>
        </w:rPr>
        <w:t xml:space="preserve"> pH range</w:t>
      </w:r>
      <w:r w:rsidR="00250FA4">
        <w:rPr>
          <w:rFonts w:asciiTheme="minorHAnsi" w:hAnsiTheme="minorHAnsi" w:cs="Arial"/>
          <w:color w:val="000000"/>
          <w:sz w:val="24"/>
          <w:szCs w:val="24"/>
        </w:rPr>
        <w:t>.</w:t>
      </w:r>
      <w:r w:rsidR="004B4308">
        <w:rPr>
          <w:rFonts w:asciiTheme="minorHAnsi" w:hAnsiTheme="minorHAnsi" w:cs="Arial"/>
          <w:color w:val="000000"/>
          <w:sz w:val="24"/>
          <w:szCs w:val="24"/>
        </w:rPr>
        <w:t xml:space="preserve"> </w:t>
      </w:r>
      <w:r w:rsidR="009A5857" w:rsidRPr="009A5857">
        <w:rPr>
          <w:rFonts w:asciiTheme="minorHAnsi" w:hAnsiTheme="minorHAnsi" w:cs="Arial"/>
          <w:color w:val="212121"/>
          <w:sz w:val="24"/>
          <w:szCs w:val="24"/>
          <w:shd w:val="clear" w:color="auto" w:fill="FFFFFF"/>
        </w:rPr>
        <w:t xml:space="preserve">Two approaches </w:t>
      </w:r>
      <w:r w:rsidR="008F75C4">
        <w:rPr>
          <w:rFonts w:asciiTheme="minorHAnsi" w:hAnsiTheme="minorHAnsi" w:cs="Arial"/>
          <w:color w:val="212121"/>
          <w:sz w:val="24"/>
          <w:szCs w:val="24"/>
          <w:shd w:val="clear" w:color="auto" w:fill="FFFFFF"/>
        </w:rPr>
        <w:t>could</w:t>
      </w:r>
      <w:r w:rsidR="009A5857" w:rsidRPr="009A5857">
        <w:rPr>
          <w:rFonts w:asciiTheme="minorHAnsi" w:hAnsiTheme="minorHAnsi" w:cs="Arial"/>
          <w:color w:val="212121"/>
          <w:sz w:val="24"/>
          <w:szCs w:val="24"/>
          <w:shd w:val="clear" w:color="auto" w:fill="FFFFFF"/>
        </w:rPr>
        <w:t xml:space="preserve"> be used to find the pz</w:t>
      </w:r>
      <w:r w:rsidR="00B269B0">
        <w:rPr>
          <w:rFonts w:asciiTheme="minorHAnsi" w:hAnsiTheme="minorHAnsi" w:cs="Arial"/>
          <w:color w:val="212121"/>
          <w:sz w:val="24"/>
          <w:szCs w:val="24"/>
          <w:shd w:val="clear" w:color="auto" w:fill="FFFFFF"/>
        </w:rPr>
        <w:t>t</w:t>
      </w:r>
      <w:r w:rsidR="009A5857" w:rsidRPr="009A5857">
        <w:rPr>
          <w:rFonts w:asciiTheme="minorHAnsi" w:hAnsiTheme="minorHAnsi" w:cs="Arial"/>
          <w:color w:val="212121"/>
          <w:sz w:val="24"/>
          <w:szCs w:val="24"/>
          <w:shd w:val="clear" w:color="auto" w:fill="FFFFFF"/>
        </w:rPr>
        <w:t>c: CO displacement and reduction of local p</w:t>
      </w:r>
      <w:r w:rsidR="00505515">
        <w:rPr>
          <w:rFonts w:asciiTheme="minorHAnsi" w:hAnsiTheme="minorHAnsi" w:cs="Arial"/>
          <w:color w:val="212121"/>
          <w:sz w:val="24"/>
          <w:szCs w:val="24"/>
          <w:shd w:val="clear" w:color="auto" w:fill="FFFFFF"/>
        </w:rPr>
        <w:t>robes</w:t>
      </w:r>
      <w:r w:rsidR="009A5857" w:rsidRPr="009A5857">
        <w:rPr>
          <w:rFonts w:asciiTheme="minorHAnsi" w:hAnsiTheme="minorHAnsi" w:cs="Arial"/>
          <w:color w:val="212121"/>
          <w:sz w:val="24"/>
          <w:szCs w:val="24"/>
          <w:shd w:val="clear" w:color="auto" w:fill="FFFFFF"/>
        </w:rPr>
        <w:t xml:space="preserve">. </w:t>
      </w:r>
      <w:r w:rsidR="001D6CF7">
        <w:rPr>
          <w:rFonts w:asciiTheme="minorHAnsi" w:hAnsiTheme="minorHAnsi" w:cs="Arial"/>
          <w:color w:val="212121"/>
          <w:sz w:val="24"/>
          <w:szCs w:val="24"/>
          <w:shd w:val="clear" w:color="auto" w:fill="FFFFFF"/>
        </w:rPr>
        <w:t>T</w:t>
      </w:r>
      <w:r w:rsidR="00FB4CE3">
        <w:rPr>
          <w:rFonts w:asciiTheme="minorHAnsi" w:hAnsiTheme="minorHAnsi" w:cs="Arial"/>
          <w:color w:val="212121"/>
          <w:sz w:val="24"/>
          <w:szCs w:val="24"/>
          <w:shd w:val="clear" w:color="auto" w:fill="FFFFFF"/>
        </w:rPr>
        <w:t>he</w:t>
      </w:r>
      <w:r w:rsidR="004B4308">
        <w:rPr>
          <w:rFonts w:asciiTheme="minorHAnsi" w:hAnsiTheme="minorHAnsi" w:cs="Arial"/>
          <w:color w:val="212121"/>
          <w:sz w:val="24"/>
          <w:szCs w:val="24"/>
          <w:shd w:val="clear" w:color="auto" w:fill="FFFFFF"/>
        </w:rPr>
        <w:t xml:space="preserve"> </w:t>
      </w:r>
      <w:r w:rsidR="007A373A">
        <w:rPr>
          <w:rFonts w:asciiTheme="minorHAnsi" w:hAnsiTheme="minorHAnsi" w:cs="Arial"/>
          <w:color w:val="212121"/>
          <w:sz w:val="24"/>
          <w:szCs w:val="24"/>
          <w:shd w:val="clear" w:color="auto" w:fill="FFFFFF"/>
        </w:rPr>
        <w:t xml:space="preserve">charge </w:t>
      </w:r>
      <w:r>
        <w:rPr>
          <w:rFonts w:asciiTheme="minorHAnsi" w:hAnsiTheme="minorHAnsi" w:cs="Arial"/>
          <w:color w:val="212121"/>
          <w:sz w:val="24"/>
          <w:szCs w:val="24"/>
          <w:shd w:val="clear" w:color="auto" w:fill="FFFFFF"/>
        </w:rPr>
        <w:t xml:space="preserve">displacement, combined </w:t>
      </w:r>
      <w:r w:rsidR="007A373A">
        <w:rPr>
          <w:rFonts w:asciiTheme="minorHAnsi" w:hAnsiTheme="minorHAnsi" w:cs="Arial"/>
          <w:color w:val="212121"/>
          <w:sz w:val="24"/>
          <w:szCs w:val="24"/>
          <w:shd w:val="clear" w:color="auto" w:fill="FFFFFF"/>
        </w:rPr>
        <w:t>with the voltammetry</w:t>
      </w:r>
      <w:r>
        <w:rPr>
          <w:rFonts w:asciiTheme="minorHAnsi" w:hAnsiTheme="minorHAnsi" w:cs="Arial"/>
          <w:color w:val="212121"/>
          <w:sz w:val="24"/>
          <w:szCs w:val="24"/>
          <w:shd w:val="clear" w:color="auto" w:fill="FFFFFF"/>
        </w:rPr>
        <w:t>,</w:t>
      </w:r>
      <w:r w:rsidR="007A373A">
        <w:rPr>
          <w:rFonts w:asciiTheme="minorHAnsi" w:hAnsiTheme="minorHAnsi" w:cs="Arial"/>
          <w:color w:val="212121"/>
          <w:sz w:val="24"/>
          <w:szCs w:val="24"/>
          <w:shd w:val="clear" w:color="auto" w:fill="FFFFFF"/>
        </w:rPr>
        <w:t xml:space="preserve"> yields the curve q</w:t>
      </w:r>
      <w:r w:rsidR="007A373A" w:rsidRPr="007A373A">
        <w:rPr>
          <w:rFonts w:asciiTheme="minorHAnsi" w:hAnsiTheme="minorHAnsi" w:cs="Arial"/>
          <w:color w:val="212121"/>
          <w:sz w:val="24"/>
          <w:szCs w:val="24"/>
          <w:shd w:val="clear" w:color="auto" w:fill="FFFFFF"/>
          <w:vertAlign w:val="superscript"/>
        </w:rPr>
        <w:t>dis</w:t>
      </w:r>
      <w:r w:rsidR="007A373A">
        <w:rPr>
          <w:rFonts w:asciiTheme="minorHAnsi" w:hAnsiTheme="minorHAnsi" w:cs="Arial"/>
          <w:color w:val="212121"/>
          <w:sz w:val="24"/>
          <w:szCs w:val="24"/>
          <w:shd w:val="clear" w:color="auto" w:fill="FFFFFF"/>
        </w:rPr>
        <w:t>-E</w:t>
      </w:r>
      <w:r>
        <w:rPr>
          <w:rFonts w:asciiTheme="minorHAnsi" w:hAnsiTheme="minorHAnsi" w:cs="Arial"/>
          <w:color w:val="212121"/>
          <w:sz w:val="24"/>
          <w:szCs w:val="24"/>
          <w:shd w:val="clear" w:color="auto" w:fill="FFFFFF"/>
        </w:rPr>
        <w:t>,</w:t>
      </w:r>
      <w:r w:rsidR="00BC1DED">
        <w:rPr>
          <w:rFonts w:asciiTheme="minorHAnsi" w:hAnsiTheme="minorHAnsi" w:cs="Arial"/>
          <w:color w:val="212121"/>
          <w:sz w:val="24"/>
          <w:szCs w:val="24"/>
          <w:shd w:val="clear" w:color="auto" w:fill="FFFFFF"/>
        </w:rPr>
        <w:t xml:space="preserve"> </w:t>
      </w:r>
      <w:r>
        <w:rPr>
          <w:rFonts w:asciiTheme="minorHAnsi" w:hAnsiTheme="minorHAnsi" w:cs="Arial"/>
          <w:color w:val="212121"/>
          <w:sz w:val="24"/>
          <w:szCs w:val="24"/>
          <w:shd w:val="clear" w:color="auto" w:fill="FFFFFF"/>
        </w:rPr>
        <w:t>from which</w:t>
      </w:r>
      <w:r w:rsidR="00DC6E13">
        <w:rPr>
          <w:rFonts w:asciiTheme="minorHAnsi" w:hAnsiTheme="minorHAnsi" w:cs="Arial"/>
          <w:color w:val="212121"/>
          <w:sz w:val="24"/>
          <w:szCs w:val="24"/>
          <w:shd w:val="clear" w:color="auto" w:fill="FFFFFF"/>
        </w:rPr>
        <w:t xml:space="preserve"> is possible find the pztc</w:t>
      </w:r>
      <w:r w:rsidR="007A373A">
        <w:rPr>
          <w:rFonts w:asciiTheme="minorHAnsi" w:hAnsiTheme="minorHAnsi" w:cs="Arial"/>
          <w:color w:val="212121"/>
          <w:sz w:val="24"/>
          <w:szCs w:val="24"/>
          <w:shd w:val="clear" w:color="auto" w:fill="FFFFFF"/>
        </w:rPr>
        <w:t>.</w:t>
      </w:r>
      <w:r w:rsidR="00BC1DED">
        <w:rPr>
          <w:rFonts w:asciiTheme="minorHAnsi" w:hAnsiTheme="minorHAnsi" w:cs="Arial"/>
          <w:color w:val="212121"/>
          <w:sz w:val="24"/>
          <w:szCs w:val="24"/>
          <w:shd w:val="clear" w:color="auto" w:fill="FFFFFF"/>
        </w:rPr>
        <w:t xml:space="preserve"> </w:t>
      </w:r>
      <w:r w:rsidR="009A5857" w:rsidRPr="009A5857">
        <w:rPr>
          <w:rFonts w:asciiTheme="minorHAnsi" w:hAnsiTheme="minorHAnsi" w:cs="Arial"/>
          <w:color w:val="212121"/>
          <w:sz w:val="24"/>
          <w:szCs w:val="24"/>
          <w:shd w:val="clear" w:color="auto" w:fill="FFFFFF"/>
        </w:rPr>
        <w:t xml:space="preserve">Reduction of </w:t>
      </w:r>
      <w:r w:rsidR="008F75C4">
        <w:rPr>
          <w:rFonts w:asciiTheme="minorHAnsi" w:hAnsiTheme="minorHAnsi" w:cs="Arial"/>
          <w:color w:val="212121"/>
          <w:sz w:val="24"/>
          <w:szCs w:val="24"/>
          <w:shd w:val="clear" w:color="auto" w:fill="FFFFFF"/>
        </w:rPr>
        <w:t>local probes (</w:t>
      </w:r>
      <w:r w:rsidR="009A5857" w:rsidRPr="009A5857">
        <w:rPr>
          <w:rFonts w:asciiTheme="minorHAnsi" w:hAnsiTheme="minorHAnsi" w:cs="Arial"/>
          <w:color w:val="212121"/>
          <w:sz w:val="24"/>
          <w:szCs w:val="24"/>
          <w:shd w:val="clear" w:color="auto" w:fill="FFFFFF"/>
        </w:rPr>
        <w:t xml:space="preserve">nitrous oxide and </w:t>
      </w:r>
      <w:r w:rsidR="008C3E55">
        <w:rPr>
          <w:rFonts w:asciiTheme="minorHAnsi" w:hAnsiTheme="minorHAnsi" w:cs="Arial"/>
          <w:color w:val="212121"/>
          <w:sz w:val="24"/>
          <w:szCs w:val="24"/>
          <w:shd w:val="clear" w:color="auto" w:fill="FFFFFF"/>
        </w:rPr>
        <w:t xml:space="preserve">potassium </w:t>
      </w:r>
      <w:r w:rsidR="009A5857" w:rsidRPr="009A5857">
        <w:rPr>
          <w:rFonts w:asciiTheme="minorHAnsi" w:hAnsiTheme="minorHAnsi" w:cs="Arial"/>
          <w:color w:val="212121"/>
          <w:sz w:val="24"/>
          <w:szCs w:val="24"/>
          <w:shd w:val="clear" w:color="auto" w:fill="FFFFFF"/>
        </w:rPr>
        <w:t>peroxodisulphate</w:t>
      </w:r>
      <w:r w:rsidR="008F75C4">
        <w:rPr>
          <w:rFonts w:asciiTheme="minorHAnsi" w:hAnsiTheme="minorHAnsi" w:cs="Arial"/>
          <w:color w:val="212121"/>
          <w:sz w:val="24"/>
          <w:szCs w:val="24"/>
          <w:shd w:val="clear" w:color="auto" w:fill="FFFFFF"/>
        </w:rPr>
        <w:t>)</w:t>
      </w:r>
      <w:r w:rsidR="009A5857" w:rsidRPr="009A5857">
        <w:rPr>
          <w:rFonts w:asciiTheme="minorHAnsi" w:hAnsiTheme="minorHAnsi" w:cs="Arial"/>
          <w:color w:val="212121"/>
          <w:sz w:val="24"/>
          <w:szCs w:val="24"/>
          <w:shd w:val="clear" w:color="auto" w:fill="FFFFFF"/>
        </w:rPr>
        <w:t xml:space="preserve"> give information about the local pz</w:t>
      </w:r>
      <w:r>
        <w:rPr>
          <w:rFonts w:asciiTheme="minorHAnsi" w:hAnsiTheme="minorHAnsi" w:cs="Arial"/>
          <w:color w:val="212121"/>
          <w:sz w:val="24"/>
          <w:szCs w:val="24"/>
          <w:shd w:val="clear" w:color="auto" w:fill="FFFFFF"/>
        </w:rPr>
        <w:t>t</w:t>
      </w:r>
      <w:r w:rsidR="009A5857" w:rsidRPr="009A5857">
        <w:rPr>
          <w:rFonts w:asciiTheme="minorHAnsi" w:hAnsiTheme="minorHAnsi" w:cs="Arial"/>
          <w:color w:val="212121"/>
          <w:sz w:val="24"/>
          <w:szCs w:val="24"/>
          <w:shd w:val="clear" w:color="auto" w:fill="FFFFFF"/>
        </w:rPr>
        <w:t>c i</w:t>
      </w:r>
      <w:r w:rsidR="00C2693F">
        <w:rPr>
          <w:rFonts w:asciiTheme="minorHAnsi" w:hAnsiTheme="minorHAnsi" w:cs="Arial"/>
          <w:color w:val="212121"/>
          <w:sz w:val="24"/>
          <w:szCs w:val="24"/>
          <w:shd w:val="clear" w:color="auto" w:fill="FFFFFF"/>
        </w:rPr>
        <w:t>n stepped surfaces</w:t>
      </w:r>
      <w:r w:rsidR="00B269B0">
        <w:rPr>
          <w:rFonts w:asciiTheme="minorHAnsi" w:hAnsiTheme="minorHAnsi" w:cs="Arial"/>
          <w:color w:val="212121"/>
          <w:sz w:val="24"/>
          <w:szCs w:val="24"/>
          <w:shd w:val="clear" w:color="auto" w:fill="FFFFFF"/>
        </w:rPr>
        <w:t>,</w:t>
      </w:r>
      <w:r w:rsidR="00854F70">
        <w:rPr>
          <w:rFonts w:asciiTheme="minorHAnsi" w:hAnsiTheme="minorHAnsi" w:cs="Arial"/>
          <w:color w:val="212121"/>
          <w:sz w:val="24"/>
          <w:szCs w:val="24"/>
          <w:shd w:val="clear" w:color="auto" w:fill="FFFFFF"/>
        </w:rPr>
        <w:t xml:space="preserve"> since the </w:t>
      </w:r>
      <w:r w:rsidR="00B269B0">
        <w:rPr>
          <w:rFonts w:asciiTheme="minorHAnsi" w:hAnsiTheme="minorHAnsi" w:cs="Arial"/>
          <w:color w:val="212121"/>
          <w:sz w:val="24"/>
          <w:szCs w:val="24"/>
          <w:shd w:val="clear" w:color="auto" w:fill="FFFFFF"/>
        </w:rPr>
        <w:t>reduction process is assumed to take place in absence of other adsorbates. Thus the peak potentials would co</w:t>
      </w:r>
      <w:r w:rsidR="00854F70">
        <w:rPr>
          <w:rFonts w:asciiTheme="minorHAnsi" w:hAnsiTheme="minorHAnsi" w:cs="Arial"/>
          <w:color w:val="212121"/>
          <w:sz w:val="24"/>
          <w:szCs w:val="24"/>
          <w:shd w:val="clear" w:color="auto" w:fill="FFFFFF"/>
        </w:rPr>
        <w:t xml:space="preserve">incide with the ¨local¨ potential </w:t>
      </w:r>
      <w:r w:rsidR="002E4382">
        <w:rPr>
          <w:rFonts w:asciiTheme="minorHAnsi" w:hAnsiTheme="minorHAnsi" w:cs="Arial"/>
          <w:color w:val="212121"/>
          <w:sz w:val="24"/>
          <w:szCs w:val="24"/>
          <w:shd w:val="clear" w:color="auto" w:fill="FFFFFF"/>
        </w:rPr>
        <w:t>of zero total charge</w:t>
      </w:r>
      <w:r w:rsidR="004B4308">
        <w:rPr>
          <w:rFonts w:asciiTheme="minorHAnsi" w:hAnsiTheme="minorHAnsi" w:cs="Arial"/>
          <w:color w:val="212121"/>
          <w:sz w:val="24"/>
          <w:szCs w:val="24"/>
          <w:shd w:val="clear" w:color="auto" w:fill="FFFFFF"/>
        </w:rPr>
        <w:fldChar w:fldCharType="begin" w:fldLock="1"/>
      </w:r>
      <w:r w:rsidR="004B4308">
        <w:rPr>
          <w:rFonts w:asciiTheme="minorHAnsi" w:hAnsiTheme="minorHAnsi" w:cs="Arial"/>
          <w:color w:val="212121"/>
          <w:sz w:val="24"/>
          <w:szCs w:val="24"/>
          <w:shd w:val="clear" w:color="auto" w:fill="FFFFFF"/>
        </w:rPr>
        <w:instrText>ADDIN CSL_CITATION { "citationItems" : [ { "id" : "ITEM-1", "itemData" : { "author" : [ { "dropping-particle" : "", "family" : "Attard", "given" : "G A", "non-dropping-particle" : "", "parse-names" : false, "suffix" : "" }, { "dropping-particle" : "", "family" : "Ahmadi", "given" : "A", "non-dropping-particle" : "", "parse-names" : false, "suffix" : "" } ], "container-title" : "Journal of Electroanalytical Chemistry", "id" : "ITEM-1", "issued" : { "date-parts" : [ [ "1995" ] ] }, "page" : "175-190", "title" : "Anion-surface interactions Part 3 . N 20 reduction as a chemical probe of the local potential of zero total charge", "type" : "article-journal", "volume" : "389" }, "uris" : [ "http://www.mendeley.com/documents/?uuid=0a1ee1c9-b385-4de5-b95a-b2bdf36727ac" ] } ], "mendeley" : { "formattedCitation" : "&lt;sup&gt;3&lt;/sup&gt;", "plainTextFormattedCitation" : "3", "previouslyFormattedCitation" : "&lt;sup&gt;2&lt;/sup&gt;" }, "properties" : { "noteIndex" : 0 }, "schema" : "https://github.com/citation-style-language/schema/raw/master/csl-citation.json" }</w:instrText>
      </w:r>
      <w:r w:rsidR="004B4308">
        <w:rPr>
          <w:rFonts w:asciiTheme="minorHAnsi" w:hAnsiTheme="minorHAnsi" w:cs="Arial"/>
          <w:color w:val="212121"/>
          <w:sz w:val="24"/>
          <w:szCs w:val="24"/>
          <w:shd w:val="clear" w:color="auto" w:fill="FFFFFF"/>
        </w:rPr>
        <w:fldChar w:fldCharType="separate"/>
      </w:r>
      <w:r w:rsidR="004B4308" w:rsidRPr="004B4308">
        <w:rPr>
          <w:rFonts w:asciiTheme="minorHAnsi" w:hAnsiTheme="minorHAnsi" w:cs="Arial"/>
          <w:noProof/>
          <w:color w:val="212121"/>
          <w:sz w:val="24"/>
          <w:szCs w:val="24"/>
          <w:shd w:val="clear" w:color="auto" w:fill="FFFFFF"/>
          <w:vertAlign w:val="superscript"/>
        </w:rPr>
        <w:t>3</w:t>
      </w:r>
      <w:r w:rsidR="004B4308">
        <w:rPr>
          <w:rFonts w:asciiTheme="minorHAnsi" w:hAnsiTheme="minorHAnsi" w:cs="Arial"/>
          <w:color w:val="212121"/>
          <w:sz w:val="24"/>
          <w:szCs w:val="24"/>
          <w:shd w:val="clear" w:color="auto" w:fill="FFFFFF"/>
        </w:rPr>
        <w:fldChar w:fldCharType="end"/>
      </w:r>
      <w:r w:rsidR="00C2693F">
        <w:rPr>
          <w:rFonts w:asciiTheme="minorHAnsi" w:hAnsiTheme="minorHAnsi" w:cs="Arial"/>
          <w:color w:val="212121"/>
          <w:sz w:val="24"/>
          <w:szCs w:val="24"/>
          <w:shd w:val="clear" w:color="auto" w:fill="FFFFFF"/>
        </w:rPr>
        <w:t xml:space="preserve">. Finally, </w:t>
      </w:r>
      <w:r w:rsidR="00B269B0">
        <w:rPr>
          <w:rFonts w:asciiTheme="minorHAnsi" w:hAnsiTheme="minorHAnsi" w:cs="Arial"/>
          <w:color w:val="212121"/>
          <w:sz w:val="24"/>
          <w:szCs w:val="24"/>
          <w:shd w:val="clear" w:color="auto" w:fill="FFFFFF"/>
        </w:rPr>
        <w:t xml:space="preserve">it will be explored the reason of increasing activity of </w:t>
      </w:r>
      <w:r w:rsidR="00AA1275">
        <w:rPr>
          <w:rFonts w:asciiTheme="minorHAnsi" w:hAnsiTheme="minorHAnsi" w:cs="Arial"/>
          <w:color w:val="212121"/>
          <w:sz w:val="24"/>
          <w:szCs w:val="24"/>
          <w:shd w:val="clear" w:color="auto" w:fill="FFFFFF"/>
        </w:rPr>
        <w:t>e</w:t>
      </w:r>
      <w:r w:rsidR="00BC1DED">
        <w:rPr>
          <w:rFonts w:asciiTheme="minorHAnsi" w:hAnsiTheme="minorHAnsi" w:cs="Arial"/>
          <w:color w:val="212121"/>
          <w:sz w:val="24"/>
          <w:szCs w:val="24"/>
          <w:shd w:val="clear" w:color="auto" w:fill="FFFFFF"/>
        </w:rPr>
        <w:t xml:space="preserve">lectrocatalytic </w:t>
      </w:r>
      <w:r w:rsidR="00B269B0">
        <w:rPr>
          <w:rFonts w:asciiTheme="minorHAnsi" w:hAnsiTheme="minorHAnsi" w:cs="Arial"/>
          <w:color w:val="212121"/>
          <w:sz w:val="24"/>
          <w:szCs w:val="24"/>
          <w:shd w:val="clear" w:color="auto" w:fill="FFFFFF"/>
        </w:rPr>
        <w:t xml:space="preserve">processes in less acidic solutions </w:t>
      </w:r>
      <w:r w:rsidR="009A5857" w:rsidRPr="009A5857">
        <w:rPr>
          <w:rFonts w:asciiTheme="minorHAnsi" w:hAnsiTheme="minorHAnsi" w:cs="Arial"/>
          <w:color w:val="212121"/>
          <w:sz w:val="24"/>
          <w:szCs w:val="24"/>
          <w:shd w:val="clear" w:color="auto" w:fill="FFFFFF"/>
        </w:rPr>
        <w:t xml:space="preserve">by considering the </w:t>
      </w:r>
      <w:r w:rsidR="00B269B0">
        <w:rPr>
          <w:rFonts w:asciiTheme="minorHAnsi" w:hAnsiTheme="minorHAnsi" w:cs="Arial"/>
          <w:color w:val="212121"/>
          <w:sz w:val="24"/>
          <w:szCs w:val="24"/>
          <w:shd w:val="clear" w:color="auto" w:fill="FFFFFF"/>
        </w:rPr>
        <w:t xml:space="preserve">shift of the </w:t>
      </w:r>
      <w:r w:rsidR="009A5857" w:rsidRPr="009A5857">
        <w:rPr>
          <w:rFonts w:asciiTheme="minorHAnsi" w:hAnsiTheme="minorHAnsi" w:cs="Arial"/>
          <w:color w:val="212121"/>
          <w:sz w:val="24"/>
          <w:szCs w:val="24"/>
          <w:shd w:val="clear" w:color="auto" w:fill="FFFFFF"/>
        </w:rPr>
        <w:t>pz</w:t>
      </w:r>
      <w:r w:rsidR="004E4581">
        <w:rPr>
          <w:rFonts w:asciiTheme="minorHAnsi" w:hAnsiTheme="minorHAnsi" w:cs="Arial"/>
          <w:color w:val="212121"/>
          <w:sz w:val="24"/>
          <w:szCs w:val="24"/>
          <w:shd w:val="clear" w:color="auto" w:fill="FFFFFF"/>
        </w:rPr>
        <w:t>t</w:t>
      </w:r>
      <w:r w:rsidR="009A5857" w:rsidRPr="009A5857">
        <w:rPr>
          <w:rFonts w:asciiTheme="minorHAnsi" w:hAnsiTheme="minorHAnsi" w:cs="Arial"/>
          <w:color w:val="212121"/>
          <w:sz w:val="24"/>
          <w:szCs w:val="24"/>
          <w:shd w:val="clear" w:color="auto" w:fill="FFFFFF"/>
        </w:rPr>
        <w:t>c</w:t>
      </w:r>
      <w:r w:rsidR="00BC1DED">
        <w:rPr>
          <w:rFonts w:asciiTheme="minorHAnsi" w:hAnsiTheme="minorHAnsi" w:cs="Arial"/>
          <w:color w:val="212121"/>
          <w:sz w:val="24"/>
          <w:szCs w:val="24"/>
          <w:shd w:val="clear" w:color="auto" w:fill="FFFFFF"/>
        </w:rPr>
        <w:t xml:space="preserve"> </w:t>
      </w:r>
      <w:r w:rsidR="00B269B0">
        <w:rPr>
          <w:rFonts w:asciiTheme="minorHAnsi" w:hAnsiTheme="minorHAnsi" w:cs="Arial"/>
          <w:color w:val="212121"/>
          <w:sz w:val="24"/>
          <w:szCs w:val="24"/>
          <w:shd w:val="clear" w:color="auto" w:fill="FFFFFF"/>
        </w:rPr>
        <w:t xml:space="preserve">with pH on </w:t>
      </w:r>
      <w:r w:rsidR="00B269B0" w:rsidRPr="009A5857">
        <w:rPr>
          <w:rFonts w:asciiTheme="minorHAnsi" w:hAnsiTheme="minorHAnsi" w:cs="Arial"/>
          <w:color w:val="212121"/>
          <w:sz w:val="24"/>
          <w:szCs w:val="24"/>
          <w:shd w:val="clear" w:color="auto" w:fill="FFFFFF"/>
        </w:rPr>
        <w:t>platinum</w:t>
      </w:r>
      <w:r w:rsidR="00B269B0">
        <w:rPr>
          <w:rFonts w:asciiTheme="minorHAnsi" w:hAnsiTheme="minorHAnsi" w:cs="Arial"/>
          <w:color w:val="212121"/>
          <w:sz w:val="24"/>
          <w:szCs w:val="24"/>
          <w:shd w:val="clear" w:color="auto" w:fill="FFFFFF"/>
        </w:rPr>
        <w:t>/electrolyte interfac</w:t>
      </w:r>
      <w:r w:rsidR="009A5857" w:rsidRPr="009A5857">
        <w:rPr>
          <w:rFonts w:asciiTheme="minorHAnsi" w:hAnsiTheme="minorHAnsi" w:cs="Arial"/>
          <w:color w:val="212121"/>
          <w:sz w:val="24"/>
          <w:szCs w:val="24"/>
          <w:shd w:val="clear" w:color="auto" w:fill="FFFFFF"/>
        </w:rPr>
        <w:t>es.</w:t>
      </w:r>
    </w:p>
    <w:p w:rsidR="002E4382" w:rsidRPr="002E4382" w:rsidRDefault="002E4382" w:rsidP="0026762F">
      <w:pPr>
        <w:jc w:val="both"/>
        <w:rPr>
          <w:rFonts w:asciiTheme="minorHAnsi" w:hAnsiTheme="minorHAnsi"/>
          <w:b/>
          <w:i/>
        </w:rPr>
      </w:pPr>
    </w:p>
    <w:p w:rsidR="00997877" w:rsidRPr="004B4308" w:rsidRDefault="00567107" w:rsidP="002E4382">
      <w:pPr>
        <w:ind w:left="142"/>
        <w:jc w:val="both"/>
        <w:rPr>
          <w:rFonts w:asciiTheme="minorHAnsi" w:hAnsiTheme="minorHAnsi"/>
          <w:sz w:val="16"/>
          <w:szCs w:val="16"/>
          <w:lang w:val="es-ES"/>
        </w:rPr>
      </w:pPr>
      <w:r w:rsidRPr="004B4308">
        <w:rPr>
          <w:rFonts w:asciiTheme="minorHAnsi" w:hAnsiTheme="minorHAnsi"/>
          <w:b/>
          <w:i/>
          <w:sz w:val="16"/>
          <w:szCs w:val="16"/>
        </w:rPr>
        <w:t>ADVISERS/</w:t>
      </w:r>
      <w:r w:rsidR="00C54A2A" w:rsidRPr="004B4308">
        <w:rPr>
          <w:rFonts w:asciiTheme="minorHAnsi" w:hAnsiTheme="minorHAnsi"/>
          <w:b/>
          <w:i/>
          <w:sz w:val="16"/>
          <w:szCs w:val="16"/>
        </w:rPr>
        <w:t>MENTORS</w:t>
      </w:r>
      <w:r w:rsidR="00997877" w:rsidRPr="004B4308">
        <w:rPr>
          <w:rFonts w:asciiTheme="minorHAnsi" w:hAnsiTheme="minorHAnsi"/>
          <w:b/>
          <w:i/>
          <w:sz w:val="16"/>
          <w:szCs w:val="16"/>
        </w:rPr>
        <w:t>:</w:t>
      </w:r>
      <w:r w:rsidR="00997877" w:rsidRPr="004B4308">
        <w:rPr>
          <w:rFonts w:asciiTheme="minorHAnsi" w:hAnsiTheme="minorHAnsi"/>
          <w:sz w:val="16"/>
          <w:szCs w:val="16"/>
        </w:rPr>
        <w:t xml:space="preserve"> Juan M. Feliu, </w:t>
      </w:r>
      <w:r w:rsidR="00DC6E13" w:rsidRPr="004B4308">
        <w:rPr>
          <w:rFonts w:asciiTheme="minorHAnsi" w:hAnsiTheme="minorHAnsi"/>
          <w:sz w:val="16"/>
          <w:szCs w:val="16"/>
        </w:rPr>
        <w:t xml:space="preserve">Victor Climent. </w:t>
      </w:r>
      <w:r w:rsidR="006302E5" w:rsidRPr="004B4308">
        <w:rPr>
          <w:rFonts w:asciiTheme="minorHAnsi" w:hAnsiTheme="minorHAnsi"/>
          <w:sz w:val="16"/>
          <w:szCs w:val="16"/>
          <w:lang w:val="es-ES"/>
        </w:rPr>
        <w:t>Instituto de Electroquímica. Universidad De Alicant</w:t>
      </w:r>
      <w:r w:rsidR="008C3E55" w:rsidRPr="004B4308">
        <w:rPr>
          <w:rFonts w:asciiTheme="minorHAnsi" w:hAnsiTheme="minorHAnsi"/>
          <w:sz w:val="16"/>
          <w:szCs w:val="16"/>
          <w:lang w:val="es-ES"/>
        </w:rPr>
        <w:t>e</w:t>
      </w:r>
    </w:p>
    <w:p w:rsidR="001376E3" w:rsidRPr="004B4308" w:rsidRDefault="001376E3" w:rsidP="002E4382">
      <w:pPr>
        <w:spacing w:after="120"/>
        <w:jc w:val="both"/>
        <w:rPr>
          <w:rFonts w:asciiTheme="minorHAnsi" w:hAnsiTheme="minorHAnsi"/>
          <w:i/>
          <w:sz w:val="16"/>
          <w:szCs w:val="16"/>
          <w:lang w:val="es-ES"/>
        </w:rPr>
      </w:pPr>
    </w:p>
    <w:p w:rsidR="006302E5" w:rsidRPr="004B4308" w:rsidRDefault="00C54A2A" w:rsidP="00B269B0">
      <w:pPr>
        <w:spacing w:after="120"/>
        <w:ind w:left="142"/>
        <w:jc w:val="both"/>
        <w:rPr>
          <w:rFonts w:asciiTheme="minorHAnsi" w:hAnsiTheme="minorHAnsi"/>
          <w:i/>
          <w:sz w:val="16"/>
          <w:szCs w:val="16"/>
        </w:rPr>
      </w:pPr>
      <w:r w:rsidRPr="004B4308">
        <w:rPr>
          <w:rFonts w:asciiTheme="minorHAnsi" w:hAnsiTheme="minorHAnsi"/>
          <w:b/>
          <w:i/>
          <w:sz w:val="16"/>
          <w:szCs w:val="16"/>
        </w:rPr>
        <w:t>ACKNOWLEDGMENTS:</w:t>
      </w:r>
      <w:r w:rsidR="004B4308">
        <w:rPr>
          <w:rFonts w:asciiTheme="minorHAnsi" w:hAnsiTheme="minorHAnsi"/>
          <w:b/>
          <w:i/>
          <w:sz w:val="16"/>
          <w:szCs w:val="16"/>
        </w:rPr>
        <w:t xml:space="preserve"> </w:t>
      </w:r>
      <w:r w:rsidR="001376E3" w:rsidRPr="004B4308">
        <w:rPr>
          <w:rFonts w:asciiTheme="minorHAnsi" w:hAnsiTheme="minorHAnsi"/>
          <w:sz w:val="16"/>
          <w:szCs w:val="16"/>
        </w:rPr>
        <w:t>Support from Generalitat</w:t>
      </w:r>
      <w:r w:rsidR="004B4308">
        <w:rPr>
          <w:rFonts w:asciiTheme="minorHAnsi" w:hAnsiTheme="minorHAnsi"/>
          <w:sz w:val="16"/>
          <w:szCs w:val="16"/>
        </w:rPr>
        <w:t xml:space="preserve"> </w:t>
      </w:r>
      <w:r w:rsidR="001376E3" w:rsidRPr="004B4308">
        <w:rPr>
          <w:rFonts w:asciiTheme="minorHAnsi" w:hAnsiTheme="minorHAnsi"/>
          <w:sz w:val="16"/>
          <w:szCs w:val="16"/>
        </w:rPr>
        <w:t>Valenciana under grant (GRISOLIA/2013/008) is grateful.</w:t>
      </w:r>
    </w:p>
    <w:p w:rsidR="00B269B0" w:rsidRPr="004B4308" w:rsidRDefault="00B269B0" w:rsidP="00B269B0">
      <w:pPr>
        <w:spacing w:after="120"/>
        <w:ind w:left="142"/>
        <w:jc w:val="both"/>
        <w:rPr>
          <w:rFonts w:asciiTheme="minorHAnsi" w:hAnsiTheme="minorHAnsi"/>
          <w:i/>
          <w:sz w:val="16"/>
          <w:szCs w:val="16"/>
        </w:rPr>
      </w:pPr>
    </w:p>
    <w:p w:rsidR="00C54A2A" w:rsidRPr="004B4308" w:rsidRDefault="00C54A2A" w:rsidP="00233781">
      <w:pPr>
        <w:spacing w:after="120"/>
        <w:ind w:left="142"/>
        <w:jc w:val="both"/>
        <w:rPr>
          <w:rFonts w:asciiTheme="minorHAnsi" w:hAnsiTheme="minorHAnsi"/>
          <w:b/>
          <w:sz w:val="16"/>
          <w:szCs w:val="16"/>
        </w:rPr>
      </w:pPr>
      <w:r w:rsidRPr="004B4308">
        <w:rPr>
          <w:rFonts w:asciiTheme="minorHAnsi" w:hAnsiTheme="minorHAnsi"/>
          <w:b/>
          <w:sz w:val="16"/>
          <w:szCs w:val="16"/>
        </w:rPr>
        <w:t>REFERENCES</w:t>
      </w:r>
    </w:p>
    <w:p w:rsidR="004B4308" w:rsidRPr="004B4308" w:rsidRDefault="004E6566">
      <w:pPr>
        <w:pStyle w:val="NormalWeb"/>
        <w:ind w:left="640" w:hanging="640"/>
        <w:divId w:val="704908842"/>
        <w:rPr>
          <w:rFonts w:ascii="Calibri" w:hAnsi="Calibri"/>
          <w:noProof/>
          <w:sz w:val="16"/>
          <w:szCs w:val="16"/>
        </w:rPr>
      </w:pPr>
      <w:r w:rsidRPr="004B4308">
        <w:rPr>
          <w:rFonts w:asciiTheme="minorHAnsi" w:hAnsiTheme="minorHAnsi"/>
          <w:b/>
          <w:bCs/>
          <w:sz w:val="16"/>
          <w:szCs w:val="16"/>
        </w:rPr>
        <w:fldChar w:fldCharType="begin" w:fldLock="1"/>
      </w:r>
      <w:r w:rsidR="000601F3" w:rsidRPr="004B4308">
        <w:rPr>
          <w:rFonts w:asciiTheme="minorHAnsi" w:hAnsiTheme="minorHAnsi"/>
          <w:b/>
          <w:bCs/>
          <w:sz w:val="16"/>
          <w:szCs w:val="16"/>
          <w:lang w:val="en-US"/>
        </w:rPr>
        <w:instrText xml:space="preserve">ADDIN Mendeley Bibliography CSL_BIBLIOGRAPHY </w:instrText>
      </w:r>
      <w:r w:rsidRPr="004B4308">
        <w:rPr>
          <w:rFonts w:asciiTheme="minorHAnsi" w:hAnsiTheme="minorHAnsi"/>
          <w:b/>
          <w:bCs/>
          <w:sz w:val="16"/>
          <w:szCs w:val="16"/>
        </w:rPr>
        <w:fldChar w:fldCharType="separate"/>
      </w:r>
      <w:r w:rsidR="004B4308" w:rsidRPr="004B4308">
        <w:rPr>
          <w:rFonts w:ascii="Calibri" w:hAnsi="Calibri"/>
          <w:noProof/>
          <w:sz w:val="16"/>
          <w:szCs w:val="16"/>
        </w:rPr>
        <w:t xml:space="preserve">(1) </w:t>
      </w:r>
      <w:r w:rsidR="004B4308" w:rsidRPr="004B4308">
        <w:rPr>
          <w:rFonts w:ascii="Calibri" w:hAnsi="Calibri"/>
          <w:noProof/>
          <w:sz w:val="16"/>
          <w:szCs w:val="16"/>
        </w:rPr>
        <w:tab/>
        <w:t xml:space="preserve">Frumkin, a. N.; Petrii, O. a. Potentials of Zero Total and Zero Free Charge of Platinum Group Metals. </w:t>
      </w:r>
      <w:r w:rsidR="004B4308" w:rsidRPr="004B4308">
        <w:rPr>
          <w:rFonts w:ascii="Calibri" w:hAnsi="Calibri"/>
          <w:i/>
          <w:iCs/>
          <w:noProof/>
          <w:sz w:val="16"/>
          <w:szCs w:val="16"/>
        </w:rPr>
        <w:t>Electrochim. Acta</w:t>
      </w:r>
      <w:r w:rsidR="004B4308" w:rsidRPr="004B4308">
        <w:rPr>
          <w:rFonts w:ascii="Calibri" w:hAnsi="Calibri"/>
          <w:noProof/>
          <w:sz w:val="16"/>
          <w:szCs w:val="16"/>
        </w:rPr>
        <w:t xml:space="preserve"> </w:t>
      </w:r>
      <w:r w:rsidR="004B4308" w:rsidRPr="004B4308">
        <w:rPr>
          <w:rFonts w:ascii="Calibri" w:hAnsi="Calibri"/>
          <w:b/>
          <w:bCs/>
          <w:noProof/>
          <w:sz w:val="16"/>
          <w:szCs w:val="16"/>
        </w:rPr>
        <w:t>1975</w:t>
      </w:r>
      <w:r w:rsidR="004B4308" w:rsidRPr="004B4308">
        <w:rPr>
          <w:rFonts w:ascii="Calibri" w:hAnsi="Calibri"/>
          <w:noProof/>
          <w:sz w:val="16"/>
          <w:szCs w:val="16"/>
        </w:rPr>
        <w:t xml:space="preserve">, </w:t>
      </w:r>
      <w:r w:rsidR="004B4308" w:rsidRPr="004B4308">
        <w:rPr>
          <w:rFonts w:ascii="Calibri" w:hAnsi="Calibri"/>
          <w:i/>
          <w:iCs/>
          <w:noProof/>
          <w:sz w:val="16"/>
          <w:szCs w:val="16"/>
        </w:rPr>
        <w:t>20</w:t>
      </w:r>
      <w:r w:rsidR="004B4308" w:rsidRPr="004B4308">
        <w:rPr>
          <w:rFonts w:ascii="Calibri" w:hAnsi="Calibri"/>
          <w:noProof/>
          <w:sz w:val="16"/>
          <w:szCs w:val="16"/>
        </w:rPr>
        <w:t xml:space="preserve"> (5), 347–359.</w:t>
      </w:r>
    </w:p>
    <w:p w:rsidR="004B4308" w:rsidRPr="004B4308" w:rsidRDefault="004B4308">
      <w:pPr>
        <w:pStyle w:val="NormalWeb"/>
        <w:ind w:left="640" w:hanging="640"/>
        <w:divId w:val="704908842"/>
        <w:rPr>
          <w:rFonts w:ascii="Calibri" w:hAnsi="Calibri"/>
          <w:noProof/>
          <w:sz w:val="16"/>
          <w:szCs w:val="16"/>
        </w:rPr>
      </w:pPr>
      <w:r w:rsidRPr="004B4308">
        <w:rPr>
          <w:rFonts w:ascii="Calibri" w:hAnsi="Calibri"/>
          <w:noProof/>
          <w:sz w:val="16"/>
          <w:szCs w:val="16"/>
        </w:rPr>
        <w:t xml:space="preserve">(2) </w:t>
      </w:r>
      <w:r w:rsidRPr="004B4308">
        <w:rPr>
          <w:rFonts w:ascii="Calibri" w:hAnsi="Calibri"/>
          <w:noProof/>
          <w:sz w:val="16"/>
          <w:szCs w:val="16"/>
        </w:rPr>
        <w:tab/>
        <w:t xml:space="preserve">Weaver, M. J. Potentials of Zero Charge for Platinum ( 111 ) - Aqueous Interfaces : A Combined Assessment from In-Situ and Ultrahigh-Vacuum Measurements. </w:t>
      </w:r>
      <w:r w:rsidRPr="004B4308">
        <w:rPr>
          <w:rFonts w:ascii="Calibri" w:hAnsi="Calibri"/>
          <w:i/>
          <w:iCs/>
          <w:noProof/>
          <w:sz w:val="16"/>
          <w:szCs w:val="16"/>
        </w:rPr>
        <w:t>Langmuir</w:t>
      </w:r>
      <w:r w:rsidRPr="004B4308">
        <w:rPr>
          <w:rFonts w:ascii="Calibri" w:hAnsi="Calibri"/>
          <w:noProof/>
          <w:sz w:val="16"/>
          <w:szCs w:val="16"/>
        </w:rPr>
        <w:t xml:space="preserve"> </w:t>
      </w:r>
      <w:r w:rsidRPr="004B4308">
        <w:rPr>
          <w:rFonts w:ascii="Calibri" w:hAnsi="Calibri"/>
          <w:b/>
          <w:bCs/>
          <w:noProof/>
          <w:sz w:val="16"/>
          <w:szCs w:val="16"/>
        </w:rPr>
        <w:t>1998</w:t>
      </w:r>
      <w:r w:rsidRPr="004B4308">
        <w:rPr>
          <w:rFonts w:ascii="Calibri" w:hAnsi="Calibri"/>
          <w:noProof/>
          <w:sz w:val="16"/>
          <w:szCs w:val="16"/>
        </w:rPr>
        <w:t xml:space="preserve">, </w:t>
      </w:r>
      <w:r w:rsidRPr="004B4308">
        <w:rPr>
          <w:rFonts w:ascii="Calibri" w:hAnsi="Calibri"/>
          <w:i/>
          <w:iCs/>
          <w:noProof/>
          <w:sz w:val="16"/>
          <w:szCs w:val="16"/>
        </w:rPr>
        <w:t>7463</w:t>
      </w:r>
      <w:r w:rsidRPr="004B4308">
        <w:rPr>
          <w:rFonts w:ascii="Calibri" w:hAnsi="Calibri"/>
          <w:noProof/>
          <w:sz w:val="16"/>
          <w:szCs w:val="16"/>
        </w:rPr>
        <w:t xml:space="preserve"> (111), 3932–3936.</w:t>
      </w:r>
    </w:p>
    <w:p w:rsidR="004B4308" w:rsidRPr="004B4308" w:rsidRDefault="004B4308">
      <w:pPr>
        <w:pStyle w:val="NormalWeb"/>
        <w:ind w:left="640" w:hanging="640"/>
        <w:divId w:val="704908842"/>
        <w:rPr>
          <w:rFonts w:ascii="Calibri" w:hAnsi="Calibri"/>
          <w:noProof/>
          <w:sz w:val="16"/>
          <w:szCs w:val="16"/>
        </w:rPr>
      </w:pPr>
      <w:r w:rsidRPr="004B4308">
        <w:rPr>
          <w:rFonts w:ascii="Calibri" w:hAnsi="Calibri"/>
          <w:noProof/>
          <w:sz w:val="16"/>
          <w:szCs w:val="16"/>
        </w:rPr>
        <w:t xml:space="preserve">(3) </w:t>
      </w:r>
      <w:r w:rsidRPr="004B4308">
        <w:rPr>
          <w:rFonts w:ascii="Calibri" w:hAnsi="Calibri"/>
          <w:noProof/>
          <w:sz w:val="16"/>
          <w:szCs w:val="16"/>
        </w:rPr>
        <w:tab/>
        <w:t xml:space="preserve">Attard, G. A.; Ahmadi, A. Anion-Surface Interactions Part 3 . N 20 Reduction as a Chemical Probe of the Local Potential of Zero Total Charge. </w:t>
      </w:r>
      <w:r w:rsidRPr="004B4308">
        <w:rPr>
          <w:rFonts w:ascii="Calibri" w:hAnsi="Calibri"/>
          <w:i/>
          <w:iCs/>
          <w:noProof/>
          <w:sz w:val="16"/>
          <w:szCs w:val="16"/>
        </w:rPr>
        <w:t>J. Electroanal. Chem.</w:t>
      </w:r>
      <w:r w:rsidRPr="004B4308">
        <w:rPr>
          <w:rFonts w:ascii="Calibri" w:hAnsi="Calibri"/>
          <w:noProof/>
          <w:sz w:val="16"/>
          <w:szCs w:val="16"/>
        </w:rPr>
        <w:t xml:space="preserve"> </w:t>
      </w:r>
      <w:r w:rsidRPr="004B4308">
        <w:rPr>
          <w:rFonts w:ascii="Calibri" w:hAnsi="Calibri"/>
          <w:b/>
          <w:bCs/>
          <w:noProof/>
          <w:sz w:val="16"/>
          <w:szCs w:val="16"/>
        </w:rPr>
        <w:t>1995</w:t>
      </w:r>
      <w:r w:rsidRPr="004B4308">
        <w:rPr>
          <w:rFonts w:ascii="Calibri" w:hAnsi="Calibri"/>
          <w:noProof/>
          <w:sz w:val="16"/>
          <w:szCs w:val="16"/>
        </w:rPr>
        <w:t xml:space="preserve">, </w:t>
      </w:r>
      <w:r w:rsidRPr="004B4308">
        <w:rPr>
          <w:rFonts w:ascii="Calibri" w:hAnsi="Calibri"/>
          <w:i/>
          <w:iCs/>
          <w:noProof/>
          <w:sz w:val="16"/>
          <w:szCs w:val="16"/>
        </w:rPr>
        <w:t>389</w:t>
      </w:r>
      <w:r w:rsidRPr="004B4308">
        <w:rPr>
          <w:rFonts w:ascii="Calibri" w:hAnsi="Calibri"/>
          <w:noProof/>
          <w:sz w:val="16"/>
          <w:szCs w:val="16"/>
        </w:rPr>
        <w:t xml:space="preserve">, 175–190. </w:t>
      </w:r>
    </w:p>
    <w:p w:rsidR="00761A6B" w:rsidRPr="004B4308" w:rsidRDefault="004E6566" w:rsidP="004B4308">
      <w:pPr>
        <w:pStyle w:val="NormalWeb"/>
        <w:ind w:left="640" w:hanging="640"/>
        <w:divId w:val="1222060245"/>
        <w:rPr>
          <w:rFonts w:asciiTheme="minorHAnsi" w:hAnsiTheme="minorHAnsi"/>
          <w:b/>
          <w:bCs/>
          <w:sz w:val="16"/>
          <w:szCs w:val="16"/>
          <w:lang w:val="en-US"/>
        </w:rPr>
      </w:pPr>
      <w:r w:rsidRPr="004B4308">
        <w:rPr>
          <w:rFonts w:asciiTheme="minorHAnsi" w:hAnsiTheme="minorHAnsi"/>
          <w:b/>
          <w:bCs/>
          <w:sz w:val="16"/>
          <w:szCs w:val="16"/>
        </w:rPr>
        <w:fldChar w:fldCharType="end"/>
      </w:r>
      <w:r w:rsidR="003376C0" w:rsidRPr="004B4308">
        <w:rPr>
          <w:rFonts w:asciiTheme="minorHAnsi" w:hAnsiTheme="minorHAnsi"/>
          <w:b/>
          <w:bCs/>
          <w:i/>
          <w:sz w:val="16"/>
          <w:szCs w:val="16"/>
          <w:lang w:val="en-US"/>
        </w:rPr>
        <w:t>Key</w:t>
      </w:r>
      <w:r w:rsidR="00AE2A95" w:rsidRPr="004B4308">
        <w:rPr>
          <w:rFonts w:asciiTheme="minorHAnsi" w:hAnsiTheme="minorHAnsi"/>
          <w:b/>
          <w:bCs/>
          <w:i/>
          <w:sz w:val="16"/>
          <w:szCs w:val="16"/>
          <w:lang w:val="en-US"/>
        </w:rPr>
        <w:t>words</w:t>
      </w:r>
      <w:r w:rsidR="00EC099B" w:rsidRPr="004B4308">
        <w:rPr>
          <w:rFonts w:asciiTheme="minorHAnsi" w:hAnsiTheme="minorHAnsi"/>
          <w:b/>
          <w:bCs/>
          <w:sz w:val="16"/>
          <w:szCs w:val="16"/>
          <w:lang w:val="en-US"/>
        </w:rPr>
        <w:t>:</w:t>
      </w:r>
      <w:r w:rsidR="00A24674" w:rsidRPr="004B4308">
        <w:rPr>
          <w:rFonts w:asciiTheme="minorHAnsi" w:hAnsiTheme="minorHAnsi"/>
          <w:sz w:val="16"/>
          <w:szCs w:val="16"/>
          <w:lang w:val="en-US"/>
        </w:rPr>
        <w:t xml:space="preserve"> Interfacial pH, single crystal electrode, </w:t>
      </w:r>
      <w:r w:rsidR="007D4BBF" w:rsidRPr="004B4308">
        <w:rPr>
          <w:rFonts w:asciiTheme="minorHAnsi" w:hAnsiTheme="minorHAnsi"/>
          <w:sz w:val="16"/>
          <w:szCs w:val="16"/>
          <w:lang w:val="en-US"/>
        </w:rPr>
        <w:t>potential of zero charge</w:t>
      </w:r>
      <w:r w:rsidR="00A24674" w:rsidRPr="004B4308">
        <w:rPr>
          <w:rFonts w:asciiTheme="minorHAnsi" w:hAnsiTheme="minorHAnsi"/>
          <w:sz w:val="16"/>
          <w:szCs w:val="16"/>
          <w:lang w:val="en-US"/>
        </w:rPr>
        <w:t>.</w:t>
      </w:r>
    </w:p>
    <w:sectPr w:rsidR="00761A6B" w:rsidRPr="004B4308" w:rsidSect="00DB4851">
      <w:headerReference w:type="default" r:id="rId7"/>
      <w:footerReference w:type="default" r:id="rId8"/>
      <w:pgSz w:w="11907" w:h="16840" w:code="9"/>
      <w:pgMar w:top="1701" w:right="1701" w:bottom="170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9D5" w:rsidRDefault="000679D5">
      <w:r>
        <w:separator/>
      </w:r>
    </w:p>
  </w:endnote>
  <w:endnote w:type="continuationSeparator" w:id="1">
    <w:p w:rsidR="000679D5" w:rsidRDefault="000679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Segoe UI"/>
    <w:charset w:val="00"/>
    <w:family w:val="swiss"/>
    <w:pitch w:val="variable"/>
    <w:sig w:usb0="00000001" w:usb1="4000207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A6B" w:rsidRPr="00761A6B" w:rsidRDefault="00761A6B" w:rsidP="00AA4C4D">
    <w:pPr>
      <w:pStyle w:val="Piedepgina"/>
      <w:pBdr>
        <w:top w:val="single" w:sz="4" w:space="1" w:color="auto"/>
      </w:pBdr>
      <w:rPr>
        <w:rFonts w:asciiTheme="majorHAnsi" w:hAnsiTheme="majorHAnsi"/>
        <w:lang w:val="es-ES"/>
      </w:rPr>
    </w:pPr>
    <w:r w:rsidRPr="00761A6B">
      <w:rPr>
        <w:rFonts w:asciiTheme="majorHAnsi" w:hAnsiTheme="majorHAnsi"/>
        <w:lang w:val="es-ES"/>
      </w:rPr>
      <w:ptab w:relativeTo="margin" w:alignment="center" w:leader="none"/>
    </w:r>
    <w:r w:rsidRPr="00761A6B">
      <w:rPr>
        <w:rFonts w:asciiTheme="majorHAnsi" w:hAnsiTheme="majorHAnsi"/>
        <w:lang w:val="es-ES"/>
      </w:rPr>
      <w:ptab w:relativeTo="margin" w:alignment="right" w:leader="none"/>
    </w:r>
    <w:r w:rsidRPr="00761A6B">
      <w:rPr>
        <w:rFonts w:asciiTheme="majorHAnsi" w:eastAsiaTheme="majorEastAsia" w:hAnsiTheme="majorHAnsi" w:cstheme="majorBidi"/>
        <w:sz w:val="28"/>
        <w:szCs w:val="28"/>
        <w:lang w:val="es-ES"/>
      </w:rPr>
      <w:t xml:space="preserve">p. </w:t>
    </w:r>
    <w:r w:rsidR="004E6566" w:rsidRPr="004E6566">
      <w:rPr>
        <w:rFonts w:asciiTheme="majorHAnsi" w:eastAsiaTheme="minorEastAsia" w:hAnsiTheme="majorHAnsi" w:cstheme="minorBidi"/>
        <w:sz w:val="22"/>
        <w:szCs w:val="22"/>
        <w:lang w:val="es-ES"/>
      </w:rPr>
      <w:fldChar w:fldCharType="begin"/>
    </w:r>
    <w:r w:rsidRPr="00123F69">
      <w:rPr>
        <w:rFonts w:asciiTheme="majorHAnsi" w:hAnsiTheme="majorHAnsi"/>
        <w:lang w:val="es-ES"/>
      </w:rPr>
      <w:instrText>PAGE    \* MERGEFORMAT</w:instrText>
    </w:r>
    <w:r w:rsidR="004E6566" w:rsidRPr="004E6566">
      <w:rPr>
        <w:rFonts w:asciiTheme="majorHAnsi" w:eastAsiaTheme="minorEastAsia" w:hAnsiTheme="majorHAnsi" w:cstheme="minorBidi"/>
        <w:sz w:val="22"/>
        <w:szCs w:val="22"/>
        <w:lang w:val="es-ES"/>
      </w:rPr>
      <w:fldChar w:fldCharType="separate"/>
    </w:r>
    <w:r w:rsidR="00AA1275" w:rsidRPr="00AA1275">
      <w:rPr>
        <w:rFonts w:asciiTheme="majorHAnsi" w:eastAsiaTheme="majorEastAsia" w:hAnsiTheme="majorHAnsi" w:cstheme="majorBidi"/>
        <w:noProof/>
        <w:sz w:val="28"/>
        <w:szCs w:val="28"/>
        <w:lang w:val="es-ES"/>
      </w:rPr>
      <w:t>1</w:t>
    </w:r>
    <w:r w:rsidR="004E6566" w:rsidRPr="00761A6B">
      <w:rPr>
        <w:rFonts w:asciiTheme="majorHAnsi" w:eastAsiaTheme="majorEastAsia" w:hAnsiTheme="majorHAnsi" w:cstheme="majorBidi"/>
        <w:sz w:val="28"/>
        <w:szCs w:val="28"/>
        <w:lang w:val="es-E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9D5" w:rsidRDefault="000679D5">
      <w:r>
        <w:separator/>
      </w:r>
    </w:p>
  </w:footnote>
  <w:footnote w:type="continuationSeparator" w:id="1">
    <w:p w:rsidR="000679D5" w:rsidRDefault="000679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67"/>
      <w:gridCol w:w="5121"/>
      <w:gridCol w:w="1407"/>
    </w:tblGrid>
    <w:tr w:rsidR="00CB2994" w:rsidTr="00CB2994">
      <w:tc>
        <w:tcPr>
          <w:tcW w:w="1967" w:type="dxa"/>
        </w:tcPr>
        <w:p w:rsidR="00CB2994" w:rsidRDefault="00CB2994" w:rsidP="00CB2994">
          <w:pPr>
            <w:pStyle w:val="Encabezado"/>
            <w:tabs>
              <w:tab w:val="clear" w:pos="4252"/>
              <w:tab w:val="left" w:pos="4253"/>
              <w:tab w:val="center" w:pos="4395"/>
            </w:tabs>
            <w:spacing w:line="276" w:lineRule="auto"/>
            <w:rPr>
              <w:rFonts w:asciiTheme="majorHAnsi" w:hAnsiTheme="majorHAnsi"/>
              <w:sz w:val="24"/>
              <w:lang w:val="pt-PT"/>
            </w:rPr>
          </w:pPr>
          <w:r w:rsidRPr="00CB2994">
            <w:rPr>
              <w:rFonts w:asciiTheme="majorHAnsi" w:hAnsiTheme="majorHAnsi"/>
              <w:noProof/>
              <w:sz w:val="24"/>
              <w:lang w:val="es-ES" w:eastAsia="es-ES"/>
            </w:rPr>
            <w:drawing>
              <wp:inline distT="0" distB="0" distL="0" distR="0">
                <wp:extent cx="1056342" cy="569327"/>
                <wp:effectExtent l="0" t="0" r="0" b="2540"/>
                <wp:docPr id="2" name="Imaxe 2" descr="Logo XXXVI Reunión del grupo de electroquí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XXXVI Reunión del grupo de electroquímica"/>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3233" cy="583820"/>
                        </a:xfrm>
                        <a:prstGeom prst="rect">
                          <a:avLst/>
                        </a:prstGeom>
                        <a:noFill/>
                        <a:ln>
                          <a:noFill/>
                        </a:ln>
                      </pic:spPr>
                    </pic:pic>
                  </a:graphicData>
                </a:graphic>
              </wp:inline>
            </w:drawing>
          </w:r>
        </w:p>
      </w:tc>
      <w:tc>
        <w:tcPr>
          <w:tcW w:w="5121" w:type="dxa"/>
          <w:vAlign w:val="center"/>
        </w:tcPr>
        <w:p w:rsidR="00CB2994" w:rsidRPr="00AA4C4D" w:rsidRDefault="00CB2994" w:rsidP="00CB2994">
          <w:pPr>
            <w:pStyle w:val="Encabezado"/>
            <w:tabs>
              <w:tab w:val="clear" w:pos="4252"/>
              <w:tab w:val="left" w:pos="4253"/>
              <w:tab w:val="center" w:pos="4395"/>
            </w:tabs>
            <w:spacing w:line="360" w:lineRule="auto"/>
            <w:rPr>
              <w:rFonts w:ascii="Lucida Calligraphy" w:hAnsi="Lucida Calligraphy"/>
              <w:b/>
              <w:color w:val="808080" w:themeColor="background1" w:themeShade="80"/>
              <w:lang w:val="pt-PT"/>
            </w:rPr>
          </w:pPr>
          <w:r w:rsidRPr="00AA4C4D">
            <w:rPr>
              <w:rFonts w:ascii="Lucida Calligraphy" w:hAnsi="Lucida Calligraphy"/>
              <w:b/>
              <w:color w:val="808080" w:themeColor="background1" w:themeShade="80"/>
              <w:lang w:val="pt-PT"/>
            </w:rPr>
            <w:t xml:space="preserve">XXXVI Reunión </w:t>
          </w:r>
          <w:r w:rsidR="00AA4C4D" w:rsidRPr="00AA4C4D">
            <w:rPr>
              <w:rFonts w:ascii="Lucida Calligraphy" w:hAnsi="Lucida Calligraphy"/>
              <w:b/>
              <w:color w:val="808080" w:themeColor="background1" w:themeShade="80"/>
              <w:lang w:val="pt-PT"/>
            </w:rPr>
            <w:t>del</w:t>
          </w:r>
          <w:r w:rsidRPr="00AA4C4D">
            <w:rPr>
              <w:rFonts w:ascii="Lucida Calligraphy" w:hAnsi="Lucida Calligraphy"/>
              <w:b/>
              <w:color w:val="808080" w:themeColor="background1" w:themeShade="80"/>
              <w:lang w:val="pt-PT"/>
            </w:rPr>
            <w:t xml:space="preserve">Grupo </w:t>
          </w:r>
          <w:r w:rsidR="00AA4C4D" w:rsidRPr="00AA4C4D">
            <w:rPr>
              <w:rFonts w:ascii="Lucida Calligraphy" w:hAnsi="Lucida Calligraphy"/>
              <w:b/>
              <w:color w:val="808080" w:themeColor="background1" w:themeShade="80"/>
              <w:lang w:val="pt-PT"/>
            </w:rPr>
            <w:t xml:space="preserve">de </w:t>
          </w:r>
          <w:r w:rsidRPr="00AA4C4D">
            <w:rPr>
              <w:rFonts w:ascii="Lucida Calligraphy" w:hAnsi="Lucida Calligraphy"/>
              <w:b/>
              <w:color w:val="808080" w:themeColor="background1" w:themeShade="80"/>
              <w:lang w:val="pt-PT"/>
            </w:rPr>
            <w:t xml:space="preserve">Electroquímica </w:t>
          </w:r>
        </w:p>
        <w:p w:rsidR="00CB2994" w:rsidRPr="00AA4C4D" w:rsidRDefault="00CB2994" w:rsidP="005B6B45">
          <w:pPr>
            <w:pStyle w:val="Encabezado"/>
            <w:tabs>
              <w:tab w:val="clear" w:pos="4252"/>
              <w:tab w:val="left" w:pos="4253"/>
              <w:tab w:val="center" w:pos="4395"/>
            </w:tabs>
            <w:rPr>
              <w:rFonts w:asciiTheme="majorHAnsi" w:hAnsiTheme="majorHAnsi"/>
              <w:color w:val="808080" w:themeColor="background1" w:themeShade="80"/>
              <w:sz w:val="24"/>
              <w:lang w:val="pt-PT"/>
            </w:rPr>
          </w:pPr>
          <w:r w:rsidRPr="00AA4C4D">
            <w:rPr>
              <w:rFonts w:ascii="Lucida Calligraphy" w:hAnsi="Lucida Calligraphy"/>
              <w:b/>
              <w:color w:val="808080" w:themeColor="background1" w:themeShade="80"/>
              <w:lang w:val="pt-PT"/>
            </w:rPr>
            <w:t>XVII Encontro Ibérico de Electroquímica</w:t>
          </w:r>
        </w:p>
      </w:tc>
      <w:tc>
        <w:tcPr>
          <w:tcW w:w="1407" w:type="dxa"/>
          <w:vAlign w:val="center"/>
        </w:tcPr>
        <w:p w:rsidR="00CB2994" w:rsidRPr="00AA4C4D" w:rsidRDefault="00CB2994" w:rsidP="00CB2994">
          <w:pPr>
            <w:pStyle w:val="Encabezado"/>
            <w:tabs>
              <w:tab w:val="clear" w:pos="4252"/>
              <w:tab w:val="left" w:pos="4253"/>
              <w:tab w:val="center" w:pos="4395"/>
            </w:tabs>
            <w:jc w:val="center"/>
            <w:rPr>
              <w:rFonts w:asciiTheme="majorHAnsi" w:hAnsiTheme="majorHAnsi"/>
              <w:b/>
              <w:color w:val="538135" w:themeColor="accent6" w:themeShade="BF"/>
              <w:sz w:val="28"/>
              <w:szCs w:val="28"/>
              <w:lang w:val="pt-PT"/>
            </w:rPr>
          </w:pPr>
          <w:r w:rsidRPr="00AA4C4D">
            <w:rPr>
              <w:rFonts w:asciiTheme="majorHAnsi" w:hAnsiTheme="majorHAnsi"/>
              <w:b/>
              <w:color w:val="538135" w:themeColor="accent6" w:themeShade="BF"/>
              <w:sz w:val="28"/>
              <w:szCs w:val="28"/>
              <w:lang w:val="pt-PT"/>
            </w:rPr>
            <w:t>Vigo</w:t>
          </w:r>
        </w:p>
        <w:p w:rsidR="00CB2994" w:rsidRPr="00AA4C4D" w:rsidRDefault="00CB2994" w:rsidP="00CB2994">
          <w:pPr>
            <w:pStyle w:val="Encabezado"/>
            <w:tabs>
              <w:tab w:val="clear" w:pos="4252"/>
              <w:tab w:val="left" w:pos="4253"/>
              <w:tab w:val="center" w:pos="4395"/>
            </w:tabs>
            <w:jc w:val="center"/>
            <w:rPr>
              <w:rFonts w:asciiTheme="majorHAnsi" w:hAnsiTheme="majorHAnsi"/>
              <w:b/>
              <w:color w:val="538135" w:themeColor="accent6" w:themeShade="BF"/>
              <w:sz w:val="24"/>
              <w:lang w:val="pt-PT"/>
            </w:rPr>
          </w:pPr>
          <w:r w:rsidRPr="00AA4C4D">
            <w:rPr>
              <w:rFonts w:asciiTheme="majorHAnsi" w:hAnsiTheme="majorHAnsi"/>
              <w:b/>
              <w:color w:val="538135" w:themeColor="accent6" w:themeShade="BF"/>
              <w:sz w:val="24"/>
              <w:lang w:val="pt-PT"/>
            </w:rPr>
            <w:t>13-15 / Julio</w:t>
          </w:r>
        </w:p>
        <w:p w:rsidR="00CB2994" w:rsidRDefault="00CB2994" w:rsidP="00CB2994">
          <w:pPr>
            <w:pStyle w:val="Encabezado"/>
            <w:tabs>
              <w:tab w:val="clear" w:pos="4252"/>
              <w:tab w:val="left" w:pos="4253"/>
              <w:tab w:val="center" w:pos="4395"/>
            </w:tabs>
            <w:jc w:val="center"/>
            <w:rPr>
              <w:rFonts w:asciiTheme="majorHAnsi" w:hAnsiTheme="majorHAnsi"/>
              <w:sz w:val="24"/>
              <w:lang w:val="pt-PT"/>
            </w:rPr>
          </w:pPr>
          <w:r w:rsidRPr="00AA4C4D">
            <w:rPr>
              <w:rFonts w:asciiTheme="majorHAnsi" w:hAnsiTheme="majorHAnsi"/>
              <w:b/>
              <w:color w:val="538135" w:themeColor="accent6" w:themeShade="BF"/>
              <w:sz w:val="24"/>
              <w:lang w:val="pt-PT"/>
            </w:rPr>
            <w:t>2015</w:t>
          </w:r>
        </w:p>
      </w:tc>
    </w:tr>
  </w:tbl>
  <w:p w:rsidR="005B6B45" w:rsidRPr="00CB2994" w:rsidRDefault="005B6B45" w:rsidP="002D1518">
    <w:pPr>
      <w:pStyle w:val="Encabezado"/>
      <w:pBdr>
        <w:top w:val="single" w:sz="4" w:space="1" w:color="auto"/>
      </w:pBdr>
      <w:spacing w:line="480" w:lineRule="auto"/>
      <w:rPr>
        <w:rFonts w:asciiTheme="majorHAnsi" w:hAnsiTheme="majorHAnsi"/>
        <w:sz w:val="16"/>
        <w:szCs w:val="16"/>
        <w:lang w:val="pt-P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0"/>
    <w:footnote w:id="1"/>
  </w:footnotePr>
  <w:endnotePr>
    <w:endnote w:id="0"/>
    <w:endnote w:id="1"/>
  </w:endnotePr>
  <w:compat/>
  <w:rsids>
    <w:rsidRoot w:val="00DC7A4E"/>
    <w:rsid w:val="0000668F"/>
    <w:rsid w:val="000220B3"/>
    <w:rsid w:val="00054459"/>
    <w:rsid w:val="000601F3"/>
    <w:rsid w:val="00060FD8"/>
    <w:rsid w:val="000679D5"/>
    <w:rsid w:val="0007035D"/>
    <w:rsid w:val="00086899"/>
    <w:rsid w:val="000868A3"/>
    <w:rsid w:val="000E13BF"/>
    <w:rsid w:val="00123F69"/>
    <w:rsid w:val="001376E3"/>
    <w:rsid w:val="00143626"/>
    <w:rsid w:val="00162DD7"/>
    <w:rsid w:val="001838AF"/>
    <w:rsid w:val="001B38F0"/>
    <w:rsid w:val="001D6866"/>
    <w:rsid w:val="001D6CF7"/>
    <w:rsid w:val="001D7E88"/>
    <w:rsid w:val="001E23B2"/>
    <w:rsid w:val="001F0988"/>
    <w:rsid w:val="00203491"/>
    <w:rsid w:val="0022525C"/>
    <w:rsid w:val="00233781"/>
    <w:rsid w:val="00244A54"/>
    <w:rsid w:val="00247CD2"/>
    <w:rsid w:val="00250FA4"/>
    <w:rsid w:val="0026762F"/>
    <w:rsid w:val="00274D69"/>
    <w:rsid w:val="00284EEC"/>
    <w:rsid w:val="002B0B2E"/>
    <w:rsid w:val="002C0453"/>
    <w:rsid w:val="002D1518"/>
    <w:rsid w:val="002D3067"/>
    <w:rsid w:val="002E2D9B"/>
    <w:rsid w:val="002E4382"/>
    <w:rsid w:val="002F1C2D"/>
    <w:rsid w:val="00327205"/>
    <w:rsid w:val="003376C0"/>
    <w:rsid w:val="003A0112"/>
    <w:rsid w:val="003A2BD9"/>
    <w:rsid w:val="003A4675"/>
    <w:rsid w:val="003D46D3"/>
    <w:rsid w:val="003E49EB"/>
    <w:rsid w:val="003F5F26"/>
    <w:rsid w:val="004046B1"/>
    <w:rsid w:val="00415659"/>
    <w:rsid w:val="00477541"/>
    <w:rsid w:val="004863C0"/>
    <w:rsid w:val="00496CA1"/>
    <w:rsid w:val="004A39B1"/>
    <w:rsid w:val="004B4308"/>
    <w:rsid w:val="004E4581"/>
    <w:rsid w:val="004E4D8B"/>
    <w:rsid w:val="004E6566"/>
    <w:rsid w:val="00505515"/>
    <w:rsid w:val="00567107"/>
    <w:rsid w:val="005771B1"/>
    <w:rsid w:val="005824D1"/>
    <w:rsid w:val="00594EC4"/>
    <w:rsid w:val="005B6B45"/>
    <w:rsid w:val="005C239F"/>
    <w:rsid w:val="005C34DC"/>
    <w:rsid w:val="00614C2E"/>
    <w:rsid w:val="00623BEF"/>
    <w:rsid w:val="006302E5"/>
    <w:rsid w:val="00680C92"/>
    <w:rsid w:val="0068256B"/>
    <w:rsid w:val="00686736"/>
    <w:rsid w:val="006A4C22"/>
    <w:rsid w:val="006C4F33"/>
    <w:rsid w:val="0072427B"/>
    <w:rsid w:val="00731231"/>
    <w:rsid w:val="00733CC7"/>
    <w:rsid w:val="00734A91"/>
    <w:rsid w:val="007379A4"/>
    <w:rsid w:val="00761A6B"/>
    <w:rsid w:val="00762E10"/>
    <w:rsid w:val="00766762"/>
    <w:rsid w:val="00772B69"/>
    <w:rsid w:val="00777B71"/>
    <w:rsid w:val="007A373A"/>
    <w:rsid w:val="007D2205"/>
    <w:rsid w:val="007D4BBF"/>
    <w:rsid w:val="00813F2E"/>
    <w:rsid w:val="00825387"/>
    <w:rsid w:val="00831359"/>
    <w:rsid w:val="00854F70"/>
    <w:rsid w:val="008638A5"/>
    <w:rsid w:val="00863D84"/>
    <w:rsid w:val="00881797"/>
    <w:rsid w:val="0088524F"/>
    <w:rsid w:val="0089441E"/>
    <w:rsid w:val="008C3E55"/>
    <w:rsid w:val="008E5735"/>
    <w:rsid w:val="008F75C4"/>
    <w:rsid w:val="00906187"/>
    <w:rsid w:val="009079E1"/>
    <w:rsid w:val="00945FD9"/>
    <w:rsid w:val="009876CC"/>
    <w:rsid w:val="009918CD"/>
    <w:rsid w:val="009934AC"/>
    <w:rsid w:val="00997877"/>
    <w:rsid w:val="009A5857"/>
    <w:rsid w:val="009D2581"/>
    <w:rsid w:val="009D613A"/>
    <w:rsid w:val="00A003DE"/>
    <w:rsid w:val="00A102F2"/>
    <w:rsid w:val="00A20ECE"/>
    <w:rsid w:val="00A24674"/>
    <w:rsid w:val="00A67F86"/>
    <w:rsid w:val="00AA1275"/>
    <w:rsid w:val="00AA4C4D"/>
    <w:rsid w:val="00AB661D"/>
    <w:rsid w:val="00AC2422"/>
    <w:rsid w:val="00AC26BC"/>
    <w:rsid w:val="00AE2A95"/>
    <w:rsid w:val="00B005EE"/>
    <w:rsid w:val="00B269B0"/>
    <w:rsid w:val="00B608AE"/>
    <w:rsid w:val="00BA72B5"/>
    <w:rsid w:val="00BC1DED"/>
    <w:rsid w:val="00BC1E5A"/>
    <w:rsid w:val="00BD24BA"/>
    <w:rsid w:val="00C21686"/>
    <w:rsid w:val="00C2693F"/>
    <w:rsid w:val="00C32CE8"/>
    <w:rsid w:val="00C54A2A"/>
    <w:rsid w:val="00C95E0F"/>
    <w:rsid w:val="00CB2994"/>
    <w:rsid w:val="00CB4BBE"/>
    <w:rsid w:val="00CD5A1C"/>
    <w:rsid w:val="00CE31D8"/>
    <w:rsid w:val="00CE434D"/>
    <w:rsid w:val="00CE5764"/>
    <w:rsid w:val="00D07633"/>
    <w:rsid w:val="00D33951"/>
    <w:rsid w:val="00D3601B"/>
    <w:rsid w:val="00D47A8C"/>
    <w:rsid w:val="00DA5BC7"/>
    <w:rsid w:val="00DB4851"/>
    <w:rsid w:val="00DC6E13"/>
    <w:rsid w:val="00DC7A4E"/>
    <w:rsid w:val="00DE47A0"/>
    <w:rsid w:val="00E01A28"/>
    <w:rsid w:val="00E13DBB"/>
    <w:rsid w:val="00E1481B"/>
    <w:rsid w:val="00E267A5"/>
    <w:rsid w:val="00E64151"/>
    <w:rsid w:val="00E6580B"/>
    <w:rsid w:val="00EC099B"/>
    <w:rsid w:val="00ED17EB"/>
    <w:rsid w:val="00EE4FD6"/>
    <w:rsid w:val="00EF39B9"/>
    <w:rsid w:val="00F51426"/>
    <w:rsid w:val="00F86F75"/>
    <w:rsid w:val="00F90D3F"/>
    <w:rsid w:val="00F9269D"/>
    <w:rsid w:val="00FB4CE3"/>
    <w:rsid w:val="00FB6093"/>
    <w:rsid w:val="00FD461F"/>
    <w:rsid w:val="00FE47DE"/>
    <w:rsid w:val="00FF5A6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gl-ES" w:eastAsia="gl-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566"/>
    <w:rPr>
      <w:lang w:val="en-US" w:eastAsia="en-US"/>
    </w:rPr>
  </w:style>
  <w:style w:type="paragraph" w:styleId="Ttulo1">
    <w:name w:val="heading 1"/>
    <w:basedOn w:val="Normal"/>
    <w:next w:val="Normal"/>
    <w:qFormat/>
    <w:rsid w:val="004E6566"/>
    <w:pPr>
      <w:keepNext/>
      <w:jc w:val="both"/>
      <w:outlineLvl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E6566"/>
    <w:pPr>
      <w:tabs>
        <w:tab w:val="center" w:pos="4252"/>
        <w:tab w:val="right" w:pos="8504"/>
      </w:tabs>
    </w:pPr>
  </w:style>
  <w:style w:type="paragraph" w:styleId="Piedepgina">
    <w:name w:val="footer"/>
    <w:basedOn w:val="Normal"/>
    <w:rsid w:val="004E6566"/>
    <w:pPr>
      <w:tabs>
        <w:tab w:val="center" w:pos="4252"/>
        <w:tab w:val="right" w:pos="8504"/>
      </w:tabs>
    </w:pPr>
  </w:style>
  <w:style w:type="paragraph" w:styleId="Ttulo">
    <w:name w:val="Title"/>
    <w:basedOn w:val="Normal"/>
    <w:qFormat/>
    <w:rsid w:val="004E6566"/>
    <w:pPr>
      <w:jc w:val="center"/>
    </w:pPr>
    <w:rPr>
      <w:b/>
      <w:bCs/>
      <w:sz w:val="28"/>
    </w:rPr>
  </w:style>
  <w:style w:type="character" w:styleId="Hipervnculo">
    <w:name w:val="Hyperlink"/>
    <w:basedOn w:val="Fuentedeprrafopredeter"/>
    <w:rsid w:val="00762E10"/>
    <w:rPr>
      <w:color w:val="0563C1" w:themeColor="hyperlink"/>
      <w:u w:val="single"/>
    </w:rPr>
  </w:style>
  <w:style w:type="table" w:styleId="Tablaconcuadrcula">
    <w:name w:val="Table Grid"/>
    <w:basedOn w:val="Tablanormal"/>
    <w:rsid w:val="00CB29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E13DBB"/>
    <w:rPr>
      <w:rFonts w:ascii="Tahoma" w:hAnsi="Tahoma" w:cs="Tahoma"/>
      <w:sz w:val="16"/>
      <w:szCs w:val="16"/>
    </w:rPr>
  </w:style>
  <w:style w:type="character" w:customStyle="1" w:styleId="TextodegloboCar">
    <w:name w:val="Texto de globo Car"/>
    <w:basedOn w:val="Fuentedeprrafopredeter"/>
    <w:link w:val="Textodeglobo"/>
    <w:rsid w:val="00E13DBB"/>
    <w:rPr>
      <w:rFonts w:ascii="Tahoma" w:hAnsi="Tahoma" w:cs="Tahoma"/>
      <w:sz w:val="16"/>
      <w:szCs w:val="16"/>
      <w:lang w:val="en-US" w:eastAsia="en-US"/>
    </w:rPr>
  </w:style>
  <w:style w:type="paragraph" w:styleId="NormalWeb">
    <w:name w:val="Normal (Web)"/>
    <w:basedOn w:val="Normal"/>
    <w:uiPriority w:val="99"/>
    <w:unhideWhenUsed/>
    <w:rsid w:val="000601F3"/>
    <w:pPr>
      <w:spacing w:before="100" w:beforeAutospacing="1" w:after="100" w:afterAutospacing="1"/>
    </w:pPr>
    <w:rPr>
      <w:rFonts w:eastAsiaTheme="minorEastAsia"/>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582569145">
      <w:bodyDiv w:val="1"/>
      <w:marLeft w:val="0"/>
      <w:marRight w:val="0"/>
      <w:marTop w:val="0"/>
      <w:marBottom w:val="0"/>
      <w:divBdr>
        <w:top w:val="none" w:sz="0" w:space="0" w:color="auto"/>
        <w:left w:val="none" w:sz="0" w:space="0" w:color="auto"/>
        <w:bottom w:val="none" w:sz="0" w:space="0" w:color="auto"/>
        <w:right w:val="none" w:sz="0" w:space="0" w:color="auto"/>
      </w:divBdr>
    </w:div>
    <w:div w:id="1151598832">
      <w:bodyDiv w:val="1"/>
      <w:marLeft w:val="0"/>
      <w:marRight w:val="0"/>
      <w:marTop w:val="0"/>
      <w:marBottom w:val="0"/>
      <w:divBdr>
        <w:top w:val="none" w:sz="0" w:space="0" w:color="auto"/>
        <w:left w:val="none" w:sz="0" w:space="0" w:color="auto"/>
        <w:bottom w:val="none" w:sz="0" w:space="0" w:color="auto"/>
        <w:right w:val="none" w:sz="0" w:space="0" w:color="auto"/>
      </w:divBdr>
    </w:div>
    <w:div w:id="1462647483">
      <w:bodyDiv w:val="1"/>
      <w:marLeft w:val="0"/>
      <w:marRight w:val="0"/>
      <w:marTop w:val="0"/>
      <w:marBottom w:val="0"/>
      <w:divBdr>
        <w:top w:val="none" w:sz="0" w:space="0" w:color="auto"/>
        <w:left w:val="none" w:sz="0" w:space="0" w:color="auto"/>
        <w:bottom w:val="none" w:sz="0" w:space="0" w:color="auto"/>
        <w:right w:val="none" w:sz="0" w:space="0" w:color="auto"/>
      </w:divBdr>
    </w:div>
    <w:div w:id="1878932730">
      <w:bodyDiv w:val="1"/>
      <w:marLeft w:val="0"/>
      <w:marRight w:val="0"/>
      <w:marTop w:val="0"/>
      <w:marBottom w:val="0"/>
      <w:divBdr>
        <w:top w:val="none" w:sz="0" w:space="0" w:color="auto"/>
        <w:left w:val="none" w:sz="0" w:space="0" w:color="auto"/>
        <w:bottom w:val="none" w:sz="0" w:space="0" w:color="auto"/>
        <w:right w:val="none" w:sz="0" w:space="0" w:color="auto"/>
      </w:divBdr>
      <w:divsChild>
        <w:div w:id="24792945">
          <w:marLeft w:val="0"/>
          <w:marRight w:val="0"/>
          <w:marTop w:val="0"/>
          <w:marBottom w:val="0"/>
          <w:divBdr>
            <w:top w:val="none" w:sz="0" w:space="0" w:color="auto"/>
            <w:left w:val="none" w:sz="0" w:space="0" w:color="auto"/>
            <w:bottom w:val="none" w:sz="0" w:space="0" w:color="auto"/>
            <w:right w:val="none" w:sz="0" w:space="0" w:color="auto"/>
          </w:divBdr>
          <w:divsChild>
            <w:div w:id="1003437706">
              <w:marLeft w:val="0"/>
              <w:marRight w:val="0"/>
              <w:marTop w:val="0"/>
              <w:marBottom w:val="0"/>
              <w:divBdr>
                <w:top w:val="none" w:sz="0" w:space="0" w:color="auto"/>
                <w:left w:val="none" w:sz="0" w:space="0" w:color="auto"/>
                <w:bottom w:val="none" w:sz="0" w:space="0" w:color="auto"/>
                <w:right w:val="none" w:sz="0" w:space="0" w:color="auto"/>
              </w:divBdr>
              <w:divsChild>
                <w:div w:id="1738896940">
                  <w:marLeft w:val="0"/>
                  <w:marRight w:val="0"/>
                  <w:marTop w:val="0"/>
                  <w:marBottom w:val="0"/>
                  <w:divBdr>
                    <w:top w:val="none" w:sz="0" w:space="0" w:color="auto"/>
                    <w:left w:val="none" w:sz="0" w:space="0" w:color="auto"/>
                    <w:bottom w:val="none" w:sz="0" w:space="0" w:color="auto"/>
                    <w:right w:val="none" w:sz="0" w:space="0" w:color="auto"/>
                  </w:divBdr>
                  <w:divsChild>
                    <w:div w:id="44262422">
                      <w:marLeft w:val="0"/>
                      <w:marRight w:val="0"/>
                      <w:marTop w:val="0"/>
                      <w:marBottom w:val="0"/>
                      <w:divBdr>
                        <w:top w:val="none" w:sz="0" w:space="0" w:color="auto"/>
                        <w:left w:val="none" w:sz="0" w:space="0" w:color="auto"/>
                        <w:bottom w:val="none" w:sz="0" w:space="0" w:color="auto"/>
                        <w:right w:val="none" w:sz="0" w:space="0" w:color="auto"/>
                      </w:divBdr>
                      <w:divsChild>
                        <w:div w:id="762149314">
                          <w:marLeft w:val="0"/>
                          <w:marRight w:val="0"/>
                          <w:marTop w:val="0"/>
                          <w:marBottom w:val="0"/>
                          <w:divBdr>
                            <w:top w:val="none" w:sz="0" w:space="0" w:color="auto"/>
                            <w:left w:val="none" w:sz="0" w:space="0" w:color="auto"/>
                            <w:bottom w:val="none" w:sz="0" w:space="0" w:color="auto"/>
                            <w:right w:val="none" w:sz="0" w:space="0" w:color="auto"/>
                          </w:divBdr>
                          <w:divsChild>
                            <w:div w:id="2033845990">
                              <w:marLeft w:val="0"/>
                              <w:marRight w:val="0"/>
                              <w:marTop w:val="0"/>
                              <w:marBottom w:val="0"/>
                              <w:divBdr>
                                <w:top w:val="none" w:sz="0" w:space="0" w:color="auto"/>
                                <w:left w:val="none" w:sz="0" w:space="0" w:color="auto"/>
                                <w:bottom w:val="none" w:sz="0" w:space="0" w:color="auto"/>
                                <w:right w:val="none" w:sz="0" w:space="0" w:color="auto"/>
                              </w:divBdr>
                              <w:divsChild>
                                <w:div w:id="1339769699">
                                  <w:marLeft w:val="0"/>
                                  <w:marRight w:val="0"/>
                                  <w:marTop w:val="0"/>
                                  <w:marBottom w:val="0"/>
                                  <w:divBdr>
                                    <w:top w:val="none" w:sz="0" w:space="0" w:color="auto"/>
                                    <w:left w:val="none" w:sz="0" w:space="0" w:color="auto"/>
                                    <w:bottom w:val="none" w:sz="0" w:space="0" w:color="auto"/>
                                    <w:right w:val="none" w:sz="0" w:space="0" w:color="auto"/>
                                  </w:divBdr>
                                  <w:divsChild>
                                    <w:div w:id="57748003">
                                      <w:marLeft w:val="0"/>
                                      <w:marRight w:val="0"/>
                                      <w:marTop w:val="0"/>
                                      <w:marBottom w:val="0"/>
                                      <w:divBdr>
                                        <w:top w:val="none" w:sz="0" w:space="0" w:color="auto"/>
                                        <w:left w:val="none" w:sz="0" w:space="0" w:color="auto"/>
                                        <w:bottom w:val="none" w:sz="0" w:space="0" w:color="auto"/>
                                        <w:right w:val="none" w:sz="0" w:space="0" w:color="auto"/>
                                      </w:divBdr>
                                    </w:div>
                                    <w:div w:id="2141730349">
                                      <w:marLeft w:val="0"/>
                                      <w:marRight w:val="0"/>
                                      <w:marTop w:val="0"/>
                                      <w:marBottom w:val="0"/>
                                      <w:divBdr>
                                        <w:top w:val="none" w:sz="0" w:space="0" w:color="auto"/>
                                        <w:left w:val="none" w:sz="0" w:space="0" w:color="auto"/>
                                        <w:bottom w:val="none" w:sz="0" w:space="0" w:color="auto"/>
                                        <w:right w:val="none" w:sz="0" w:space="0" w:color="auto"/>
                                      </w:divBdr>
                                      <w:divsChild>
                                        <w:div w:id="1454245891">
                                          <w:marLeft w:val="0"/>
                                          <w:marRight w:val="0"/>
                                          <w:marTop w:val="0"/>
                                          <w:marBottom w:val="0"/>
                                          <w:divBdr>
                                            <w:top w:val="none" w:sz="0" w:space="0" w:color="auto"/>
                                            <w:left w:val="none" w:sz="0" w:space="0" w:color="auto"/>
                                            <w:bottom w:val="none" w:sz="0" w:space="0" w:color="auto"/>
                                            <w:right w:val="none" w:sz="0" w:space="0" w:color="auto"/>
                                          </w:divBdr>
                                        </w:div>
                                      </w:divsChild>
                                    </w:div>
                                    <w:div w:id="1384137114">
                                      <w:marLeft w:val="0"/>
                                      <w:marRight w:val="0"/>
                                      <w:marTop w:val="0"/>
                                      <w:marBottom w:val="0"/>
                                      <w:divBdr>
                                        <w:top w:val="none" w:sz="0" w:space="0" w:color="auto"/>
                                        <w:left w:val="none" w:sz="0" w:space="0" w:color="auto"/>
                                        <w:bottom w:val="none" w:sz="0" w:space="0" w:color="auto"/>
                                        <w:right w:val="none" w:sz="0" w:space="0" w:color="auto"/>
                                      </w:divBdr>
                                    </w:div>
                                    <w:div w:id="1642811732">
                                      <w:marLeft w:val="0"/>
                                      <w:marRight w:val="0"/>
                                      <w:marTop w:val="0"/>
                                      <w:marBottom w:val="0"/>
                                      <w:divBdr>
                                        <w:top w:val="none" w:sz="0" w:space="0" w:color="auto"/>
                                        <w:left w:val="none" w:sz="0" w:space="0" w:color="auto"/>
                                        <w:bottom w:val="none" w:sz="0" w:space="0" w:color="auto"/>
                                        <w:right w:val="none" w:sz="0" w:space="0" w:color="auto"/>
                                      </w:divBdr>
                                    </w:div>
                                    <w:div w:id="759134609">
                                      <w:marLeft w:val="0"/>
                                      <w:marRight w:val="0"/>
                                      <w:marTop w:val="0"/>
                                      <w:marBottom w:val="0"/>
                                      <w:divBdr>
                                        <w:top w:val="none" w:sz="0" w:space="0" w:color="auto"/>
                                        <w:left w:val="none" w:sz="0" w:space="0" w:color="auto"/>
                                        <w:bottom w:val="none" w:sz="0" w:space="0" w:color="auto"/>
                                        <w:right w:val="none" w:sz="0" w:space="0" w:color="auto"/>
                                      </w:divBdr>
                                    </w:div>
                                    <w:div w:id="672605737">
                                      <w:marLeft w:val="0"/>
                                      <w:marRight w:val="0"/>
                                      <w:marTop w:val="0"/>
                                      <w:marBottom w:val="0"/>
                                      <w:divBdr>
                                        <w:top w:val="none" w:sz="0" w:space="0" w:color="auto"/>
                                        <w:left w:val="none" w:sz="0" w:space="0" w:color="auto"/>
                                        <w:bottom w:val="none" w:sz="0" w:space="0" w:color="auto"/>
                                        <w:right w:val="none" w:sz="0" w:space="0" w:color="auto"/>
                                      </w:divBdr>
                                    </w:div>
                                    <w:div w:id="44765682">
                                      <w:marLeft w:val="0"/>
                                      <w:marRight w:val="0"/>
                                      <w:marTop w:val="0"/>
                                      <w:marBottom w:val="0"/>
                                      <w:divBdr>
                                        <w:top w:val="none" w:sz="0" w:space="0" w:color="auto"/>
                                        <w:left w:val="none" w:sz="0" w:space="0" w:color="auto"/>
                                        <w:bottom w:val="none" w:sz="0" w:space="0" w:color="auto"/>
                                        <w:right w:val="none" w:sz="0" w:space="0" w:color="auto"/>
                                      </w:divBdr>
                                    </w:div>
                                    <w:div w:id="339701441">
                                      <w:marLeft w:val="0"/>
                                      <w:marRight w:val="0"/>
                                      <w:marTop w:val="0"/>
                                      <w:marBottom w:val="0"/>
                                      <w:divBdr>
                                        <w:top w:val="none" w:sz="0" w:space="0" w:color="auto"/>
                                        <w:left w:val="none" w:sz="0" w:space="0" w:color="auto"/>
                                        <w:bottom w:val="none" w:sz="0" w:space="0" w:color="auto"/>
                                        <w:right w:val="none" w:sz="0" w:space="0" w:color="auto"/>
                                      </w:divBdr>
                                    </w:div>
                                    <w:div w:id="1495606250">
                                      <w:marLeft w:val="0"/>
                                      <w:marRight w:val="0"/>
                                      <w:marTop w:val="0"/>
                                      <w:marBottom w:val="0"/>
                                      <w:divBdr>
                                        <w:top w:val="none" w:sz="0" w:space="0" w:color="auto"/>
                                        <w:left w:val="none" w:sz="0" w:space="0" w:color="auto"/>
                                        <w:bottom w:val="none" w:sz="0" w:space="0" w:color="auto"/>
                                        <w:right w:val="none" w:sz="0" w:space="0" w:color="auto"/>
                                      </w:divBdr>
                                    </w:div>
                                    <w:div w:id="992414059">
                                      <w:marLeft w:val="0"/>
                                      <w:marRight w:val="0"/>
                                      <w:marTop w:val="0"/>
                                      <w:marBottom w:val="0"/>
                                      <w:divBdr>
                                        <w:top w:val="none" w:sz="0" w:space="0" w:color="auto"/>
                                        <w:left w:val="none" w:sz="0" w:space="0" w:color="auto"/>
                                        <w:bottom w:val="none" w:sz="0" w:space="0" w:color="auto"/>
                                        <w:right w:val="none" w:sz="0" w:space="0" w:color="auto"/>
                                      </w:divBdr>
                                    </w:div>
                                    <w:div w:id="1210455804">
                                      <w:marLeft w:val="0"/>
                                      <w:marRight w:val="0"/>
                                      <w:marTop w:val="0"/>
                                      <w:marBottom w:val="0"/>
                                      <w:divBdr>
                                        <w:top w:val="none" w:sz="0" w:space="0" w:color="auto"/>
                                        <w:left w:val="none" w:sz="0" w:space="0" w:color="auto"/>
                                        <w:bottom w:val="none" w:sz="0" w:space="0" w:color="auto"/>
                                        <w:right w:val="none" w:sz="0" w:space="0" w:color="auto"/>
                                      </w:divBdr>
                                    </w:div>
                                    <w:div w:id="1222060245">
                                      <w:marLeft w:val="0"/>
                                      <w:marRight w:val="0"/>
                                      <w:marTop w:val="0"/>
                                      <w:marBottom w:val="0"/>
                                      <w:divBdr>
                                        <w:top w:val="none" w:sz="0" w:space="0" w:color="auto"/>
                                        <w:left w:val="none" w:sz="0" w:space="0" w:color="auto"/>
                                        <w:bottom w:val="none" w:sz="0" w:space="0" w:color="auto"/>
                                        <w:right w:val="none" w:sz="0" w:space="0" w:color="auto"/>
                                      </w:divBdr>
                                      <w:divsChild>
                                        <w:div w:id="70490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B8FC3-98B4-4A76-957F-B7921CE26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1071</Words>
  <Characters>5892</Characters>
  <Application>Microsoft Office Word</Application>
  <DocSecurity>0</DocSecurity>
  <Lines>49</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Title</vt:lpstr>
    </vt:vector>
  </TitlesOfParts>
  <Company/>
  <LinksUpToDate>false</LinksUpToDate>
  <CharactersWithSpaces>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Nóvoa</dc:creator>
  <cp:lastModifiedBy>Ricardo</cp:lastModifiedBy>
  <cp:revision>2</cp:revision>
  <cp:lastPrinted>2015-05-27T17:24:00Z</cp:lastPrinted>
  <dcterms:created xsi:type="dcterms:W3CDTF">2015-05-28T09:58:00Z</dcterms:created>
  <dcterms:modified xsi:type="dcterms:W3CDTF">2015-05-28T09:58:00Z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ricuardomartin@gmail.com@www.mendeley.com</vt:lpwstr>
  </property>
  <property fmtid="{D5CDD505-2E9C-101B-9397-08002B2CF9AE}" pid="4" name="Mendeley Citation Style_1">
    <vt:lpwstr>http://www.zotero.org/styles/chemical-reviews</vt:lpwstr>
  </property>
  <property fmtid="{D5CDD505-2E9C-101B-9397-08002B2CF9AE}" pid="5" name="Mendeley Recent Style Id 0_1">
    <vt:lpwstr>http://www.zotero.org/styles/american-chemical-society</vt:lpwstr>
  </property>
  <property fmtid="{D5CDD505-2E9C-101B-9397-08002B2CF9AE}" pid="6" name="Mendeley Recent Style Name 0_1">
    <vt:lpwstr>American Chemical Society</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http://www.zotero.org/styles/chemical-reviews</vt:lpwstr>
  </property>
  <property fmtid="{D5CDD505-2E9C-101B-9397-08002B2CF9AE}" pid="12" name="Mendeley Recent Style Name 3_1">
    <vt:lpwstr>Chemical Reviews</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http://www.zotero.org/styles/electrochemistry-communications</vt:lpwstr>
  </property>
  <property fmtid="{D5CDD505-2E9C-101B-9397-08002B2CF9AE}" pid="16" name="Mendeley Recent Style Name 5_1">
    <vt:lpwstr>Electrochemistry Communications</vt:lpwstr>
  </property>
  <property fmtid="{D5CDD505-2E9C-101B-9397-08002B2CF9AE}" pid="17" name="Mendeley Recent Style Id 6_1">
    <vt:lpwstr>http://www.zotero.org/styles/electrochimica-acta</vt:lpwstr>
  </property>
  <property fmtid="{D5CDD505-2E9C-101B-9397-08002B2CF9AE}" pid="18" name="Mendeley Recent Style Name 6_1">
    <vt:lpwstr>Electrochimica Acta</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http://www.zotero.org/styles/the-journal-of-physical-chemistry-c</vt:lpwstr>
  </property>
  <property fmtid="{D5CDD505-2E9C-101B-9397-08002B2CF9AE}" pid="22" name="Mendeley Recent Style Name 8_1">
    <vt:lpwstr>The Journal of Physical Chemistry C</vt:lpwstr>
  </property>
  <property fmtid="{D5CDD505-2E9C-101B-9397-08002B2CF9AE}" pid="23" name="Mendeley Recent Style Id 9_1">
    <vt:lpwstr>http://www.zotero.org/styles/the-journal-of-physical-chemistry-letters</vt:lpwstr>
  </property>
  <property fmtid="{D5CDD505-2E9C-101B-9397-08002B2CF9AE}" pid="24" name="Mendeley Recent Style Name 9_1">
    <vt:lpwstr>The Journal of Physical Chemistry Letters</vt:lpwstr>
  </property>
</Properties>
</file>