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D4C" w:rsidRPr="0065677F" w:rsidRDefault="0065677F" w:rsidP="0065677F">
      <w:pPr>
        <w:pStyle w:val="Ttulo1"/>
        <w:jc w:val="center"/>
      </w:pPr>
      <w:r>
        <w:rPr>
          <w:rFonts w:asciiTheme="minorHAnsi" w:hAnsiTheme="minorHAnsi" w:cs="Calibri"/>
          <w:b/>
          <w:sz w:val="28"/>
          <w:szCs w:val="28"/>
        </w:rPr>
        <w:t>I</w:t>
      </w:r>
      <w:r w:rsidRPr="0065677F">
        <w:rPr>
          <w:rFonts w:asciiTheme="minorHAnsi" w:hAnsiTheme="minorHAnsi" w:cs="Calibri"/>
          <w:b/>
          <w:sz w:val="28"/>
          <w:szCs w:val="28"/>
        </w:rPr>
        <w:t xml:space="preserve">mmobilization </w:t>
      </w:r>
      <w:r>
        <w:rPr>
          <w:rFonts w:asciiTheme="minorHAnsi" w:hAnsiTheme="minorHAnsi" w:cs="Calibri"/>
          <w:b/>
          <w:sz w:val="28"/>
          <w:szCs w:val="28"/>
        </w:rPr>
        <w:t>of e</w:t>
      </w:r>
      <w:r w:rsidRPr="0065677F">
        <w:rPr>
          <w:rFonts w:asciiTheme="minorHAnsi" w:hAnsiTheme="minorHAnsi" w:cs="Calibri"/>
          <w:b/>
          <w:sz w:val="28"/>
          <w:szCs w:val="28"/>
        </w:rPr>
        <w:t xml:space="preserve">nzymes </w:t>
      </w:r>
      <w:r w:rsidR="004A2DE4">
        <w:rPr>
          <w:rFonts w:asciiTheme="minorHAnsi" w:hAnsiTheme="minorHAnsi" w:cs="Calibri"/>
          <w:b/>
          <w:sz w:val="28"/>
          <w:szCs w:val="28"/>
        </w:rPr>
        <w:t>at</w:t>
      </w:r>
      <w:r w:rsidRPr="0065677F">
        <w:rPr>
          <w:rFonts w:asciiTheme="minorHAnsi" w:hAnsiTheme="minorHAnsi" w:cs="Calibri"/>
          <w:b/>
          <w:sz w:val="28"/>
          <w:szCs w:val="28"/>
        </w:rPr>
        <w:t xml:space="preserve"> electrode surfaces and its application as biosensor of</w:t>
      </w:r>
      <w:r w:rsidR="00067D3D">
        <w:rPr>
          <w:rFonts w:asciiTheme="minorHAnsi" w:hAnsiTheme="minorHAnsi" w:cs="Calibri"/>
          <w:b/>
          <w:sz w:val="28"/>
          <w:szCs w:val="28"/>
        </w:rPr>
        <w:t xml:space="preserve"> species of</w:t>
      </w:r>
      <w:r w:rsidRPr="0065677F">
        <w:rPr>
          <w:rFonts w:asciiTheme="minorHAnsi" w:hAnsiTheme="minorHAnsi" w:cs="Calibri"/>
          <w:b/>
          <w:sz w:val="28"/>
          <w:szCs w:val="28"/>
        </w:rPr>
        <w:t xml:space="preserve"> biological interest. </w:t>
      </w:r>
    </w:p>
    <w:p w:rsidR="00EC099B" w:rsidRPr="005B6B45" w:rsidRDefault="00F7375B" w:rsidP="00567107">
      <w:pPr>
        <w:jc w:val="center"/>
        <w:rPr>
          <w:rFonts w:asciiTheme="minorHAnsi" w:hAnsiTheme="minorHAnsi"/>
          <w:sz w:val="24"/>
          <w:lang w:val="es-ES"/>
        </w:rPr>
      </w:pPr>
      <w:r>
        <w:rPr>
          <w:rFonts w:asciiTheme="minorHAnsi" w:hAnsiTheme="minorHAnsi"/>
          <w:sz w:val="24"/>
          <w:lang w:val="es-ES"/>
        </w:rPr>
        <w:t xml:space="preserve">Jenaro Daniel Jaime </w:t>
      </w:r>
      <w:proofErr w:type="spellStart"/>
      <w:r>
        <w:rPr>
          <w:rFonts w:asciiTheme="minorHAnsi" w:hAnsiTheme="minorHAnsi"/>
          <w:sz w:val="24"/>
          <w:lang w:val="es-ES"/>
        </w:rPr>
        <w:t>González</w:t>
      </w:r>
      <w:r w:rsidRPr="00F7375B">
        <w:rPr>
          <w:rFonts w:asciiTheme="minorHAnsi" w:hAnsiTheme="minorHAnsi"/>
          <w:i/>
          <w:sz w:val="24"/>
          <w:vertAlign w:val="superscript"/>
          <w:lang w:val="es-ES"/>
        </w:rPr>
        <w:t>a,b</w:t>
      </w:r>
      <w:proofErr w:type="spellEnd"/>
      <w:r>
        <w:rPr>
          <w:rFonts w:asciiTheme="minorHAnsi" w:hAnsiTheme="minorHAnsi"/>
          <w:i/>
          <w:sz w:val="24"/>
          <w:vertAlign w:val="superscript"/>
          <w:lang w:val="es-ES"/>
        </w:rPr>
        <w:t>*</w:t>
      </w:r>
    </w:p>
    <w:p w:rsidR="00CB60A5" w:rsidRDefault="00F7375B">
      <w:pPr>
        <w:jc w:val="center"/>
        <w:rPr>
          <w:rFonts w:ascii="Calibri" w:hAnsi="Calibri"/>
          <w:i/>
          <w:sz w:val="24"/>
          <w:szCs w:val="24"/>
          <w:lang w:val="es-MX"/>
        </w:rPr>
      </w:pPr>
      <w:proofErr w:type="spellStart"/>
      <w:r w:rsidRPr="00750528">
        <w:rPr>
          <w:rFonts w:asciiTheme="minorHAnsi" w:hAnsiTheme="minorHAnsi"/>
          <w:i/>
          <w:iCs/>
          <w:sz w:val="24"/>
          <w:szCs w:val="24"/>
          <w:vertAlign w:val="superscript"/>
          <w:lang w:val="es-ES"/>
        </w:rPr>
        <w:t>a</w:t>
      </w:r>
      <w:r w:rsidRPr="00750528">
        <w:rPr>
          <w:rFonts w:asciiTheme="minorHAnsi" w:hAnsiTheme="minorHAnsi"/>
          <w:i/>
          <w:color w:val="000000"/>
          <w:sz w:val="24"/>
          <w:szCs w:val="24"/>
          <w:lang w:val="es-ES"/>
        </w:rPr>
        <w:t>Departamento</w:t>
      </w:r>
      <w:proofErr w:type="spellEnd"/>
      <w:r w:rsidRPr="00750528">
        <w:rPr>
          <w:rFonts w:asciiTheme="minorHAnsi" w:hAnsiTheme="minorHAnsi"/>
          <w:i/>
          <w:color w:val="000000"/>
          <w:sz w:val="24"/>
          <w:szCs w:val="24"/>
          <w:lang w:val="es-ES"/>
        </w:rPr>
        <w:t xml:space="preserve"> de Química Física Aplicada, Universidad Autónoma de Madrid.</w:t>
      </w:r>
      <w:r w:rsidRPr="00750528">
        <w:rPr>
          <w:rFonts w:asciiTheme="minorHAnsi" w:hAnsiTheme="minorHAnsi"/>
          <w:i/>
          <w:iCs/>
          <w:sz w:val="24"/>
          <w:szCs w:val="24"/>
          <w:lang w:val="es-ES"/>
        </w:rPr>
        <w:t xml:space="preserve">, </w:t>
      </w:r>
      <w:r w:rsidRPr="00F7375B">
        <w:rPr>
          <w:rFonts w:asciiTheme="minorHAnsi" w:hAnsiTheme="minorHAnsi"/>
          <w:i/>
          <w:iCs/>
          <w:sz w:val="24"/>
          <w:szCs w:val="24"/>
          <w:vertAlign w:val="superscript"/>
          <w:lang w:val="es-ES"/>
        </w:rPr>
        <w:t>b</w:t>
      </w:r>
      <w:r w:rsidR="00FC7515">
        <w:rPr>
          <w:rFonts w:ascii="Calibri" w:hAnsi="Calibri"/>
          <w:i/>
          <w:sz w:val="24"/>
          <w:szCs w:val="24"/>
          <w:lang w:val="es-MX"/>
        </w:rPr>
        <w:t>Departamento de Química</w:t>
      </w:r>
      <w:r w:rsidRPr="00F7375B">
        <w:rPr>
          <w:rFonts w:ascii="Calibri" w:hAnsi="Calibri"/>
          <w:i/>
          <w:sz w:val="24"/>
          <w:szCs w:val="24"/>
          <w:lang w:val="es-MX"/>
        </w:rPr>
        <w:t>, Universidad de Guanajuat</w:t>
      </w:r>
      <w:r w:rsidR="00CB60A5">
        <w:rPr>
          <w:rFonts w:ascii="Calibri" w:hAnsi="Calibri"/>
          <w:i/>
          <w:sz w:val="24"/>
          <w:szCs w:val="24"/>
          <w:lang w:val="es-MX"/>
        </w:rPr>
        <w:t>o</w:t>
      </w:r>
      <w:r w:rsidR="00EC6702">
        <w:rPr>
          <w:rFonts w:ascii="Calibri" w:hAnsi="Calibri"/>
          <w:i/>
          <w:sz w:val="24"/>
          <w:szCs w:val="24"/>
          <w:lang w:val="es-MX"/>
        </w:rPr>
        <w:t>.</w:t>
      </w:r>
    </w:p>
    <w:p w:rsidR="00EC099B" w:rsidRPr="0067228E" w:rsidRDefault="00477541">
      <w:pPr>
        <w:jc w:val="center"/>
        <w:rPr>
          <w:rFonts w:ascii="Calibri" w:hAnsi="Calibri"/>
          <w:i/>
          <w:sz w:val="24"/>
          <w:szCs w:val="24"/>
        </w:rPr>
      </w:pPr>
      <w:r w:rsidRPr="0067228E">
        <w:rPr>
          <w:rFonts w:asciiTheme="minorHAnsi" w:hAnsiTheme="minorHAnsi"/>
          <w:i/>
          <w:iCs/>
          <w:sz w:val="24"/>
        </w:rPr>
        <w:t>*</w:t>
      </w:r>
      <w:r w:rsidR="00762E10" w:rsidRPr="0067228E">
        <w:rPr>
          <w:rFonts w:asciiTheme="minorHAnsi" w:hAnsiTheme="minorHAnsi"/>
          <w:i/>
          <w:iCs/>
          <w:sz w:val="24"/>
        </w:rPr>
        <w:t xml:space="preserve"> </w:t>
      </w:r>
      <w:hyperlink r:id="rId7" w:history="1">
        <w:r w:rsidR="00F7375B" w:rsidRPr="0067228E">
          <w:rPr>
            <w:rStyle w:val="Hipervnculo"/>
            <w:rFonts w:asciiTheme="minorHAnsi" w:hAnsiTheme="minorHAnsi"/>
            <w:i/>
            <w:iCs/>
            <w:sz w:val="24"/>
          </w:rPr>
          <w:t>jenaro</w:t>
        </w:r>
        <w:r w:rsidR="00143626" w:rsidRPr="0067228E">
          <w:rPr>
            <w:rStyle w:val="Hipervnculo"/>
            <w:rFonts w:asciiTheme="minorHAnsi" w:hAnsiTheme="minorHAnsi"/>
            <w:i/>
            <w:iCs/>
            <w:sz w:val="24"/>
          </w:rPr>
          <w:t>.</w:t>
        </w:r>
        <w:r w:rsidR="00F7375B" w:rsidRPr="0067228E">
          <w:rPr>
            <w:rStyle w:val="Hipervnculo"/>
            <w:rFonts w:asciiTheme="minorHAnsi" w:hAnsiTheme="minorHAnsi"/>
            <w:i/>
            <w:iCs/>
            <w:sz w:val="24"/>
          </w:rPr>
          <w:t>jaime</w:t>
        </w:r>
        <w:r w:rsidR="00143626" w:rsidRPr="0067228E">
          <w:rPr>
            <w:rStyle w:val="Hipervnculo"/>
            <w:rFonts w:asciiTheme="minorHAnsi" w:hAnsiTheme="minorHAnsi"/>
            <w:i/>
            <w:iCs/>
            <w:sz w:val="24"/>
          </w:rPr>
          <w:t>@</w:t>
        </w:r>
        <w:r w:rsidR="00F7375B" w:rsidRPr="0067228E">
          <w:rPr>
            <w:rStyle w:val="Hipervnculo"/>
            <w:rFonts w:asciiTheme="minorHAnsi" w:hAnsiTheme="minorHAnsi"/>
            <w:i/>
            <w:iCs/>
            <w:sz w:val="24"/>
          </w:rPr>
          <w:t>estudiante.uam.es</w:t>
        </w:r>
      </w:hyperlink>
      <w:r w:rsidR="00762E10" w:rsidRPr="0067228E">
        <w:rPr>
          <w:rFonts w:asciiTheme="minorHAnsi" w:hAnsiTheme="minorHAnsi"/>
          <w:i/>
          <w:iCs/>
          <w:sz w:val="24"/>
        </w:rPr>
        <w:t xml:space="preserve"> </w:t>
      </w:r>
    </w:p>
    <w:p w:rsidR="005B6B45" w:rsidRPr="0067228E" w:rsidRDefault="005B6B45" w:rsidP="005B6B45">
      <w:pPr>
        <w:jc w:val="both"/>
        <w:rPr>
          <w:rFonts w:asciiTheme="minorHAnsi" w:hAnsiTheme="minorHAnsi"/>
          <w:sz w:val="24"/>
        </w:rPr>
      </w:pPr>
    </w:p>
    <w:p w:rsidR="00143626" w:rsidRPr="0067228E" w:rsidRDefault="00567107" w:rsidP="00DE3F1E">
      <w:pPr>
        <w:spacing w:after="240"/>
        <w:jc w:val="both"/>
        <w:rPr>
          <w:rFonts w:asciiTheme="minorHAnsi" w:hAnsiTheme="minorHAnsi"/>
          <w:sz w:val="24"/>
        </w:rPr>
      </w:pPr>
      <w:r w:rsidRPr="0067228E">
        <w:rPr>
          <w:rFonts w:asciiTheme="minorHAnsi" w:hAnsiTheme="minorHAnsi"/>
          <w:b/>
          <w:sz w:val="24"/>
        </w:rPr>
        <w:t>ABSTRACT</w:t>
      </w:r>
    </w:p>
    <w:p w:rsidR="00CD729C" w:rsidRDefault="00DF0255" w:rsidP="00FF6AAC">
      <w:pPr>
        <w:spacing w:after="240"/>
        <w:jc w:val="both"/>
        <w:rPr>
          <w:rFonts w:asciiTheme="minorHAnsi" w:hAnsiTheme="minorHAnsi"/>
          <w:sz w:val="24"/>
        </w:rPr>
      </w:pPr>
      <w:r w:rsidRPr="00DF0255">
        <w:rPr>
          <w:rFonts w:asciiTheme="minorHAnsi" w:hAnsiTheme="minorHAnsi"/>
          <w:sz w:val="24"/>
        </w:rPr>
        <w:t>The analytical determination of hydrogen peroxide (</w:t>
      </w:r>
      <w:r w:rsidR="00E24814" w:rsidRPr="00DF0255">
        <w:rPr>
          <w:rFonts w:asciiTheme="minorHAnsi" w:hAnsiTheme="minorHAnsi"/>
          <w:sz w:val="24"/>
        </w:rPr>
        <w:t>H</w:t>
      </w:r>
      <w:r w:rsidR="00E24814" w:rsidRPr="00DF0255">
        <w:rPr>
          <w:rFonts w:asciiTheme="minorHAnsi" w:hAnsiTheme="minorHAnsi"/>
          <w:sz w:val="24"/>
          <w:vertAlign w:val="subscript"/>
        </w:rPr>
        <w:t>2</w:t>
      </w:r>
      <w:r w:rsidR="00E24814" w:rsidRPr="00DF0255">
        <w:rPr>
          <w:rFonts w:asciiTheme="minorHAnsi" w:hAnsiTheme="minorHAnsi"/>
          <w:sz w:val="24"/>
        </w:rPr>
        <w:t>O</w:t>
      </w:r>
      <w:r w:rsidR="00E24814" w:rsidRPr="00DF0255">
        <w:rPr>
          <w:rFonts w:asciiTheme="minorHAnsi" w:hAnsiTheme="minorHAnsi"/>
          <w:sz w:val="24"/>
          <w:vertAlign w:val="subscript"/>
        </w:rPr>
        <w:t>2</w:t>
      </w:r>
      <w:r>
        <w:rPr>
          <w:rFonts w:asciiTheme="minorHAnsi" w:hAnsiTheme="minorHAnsi"/>
          <w:sz w:val="24"/>
        </w:rPr>
        <w:t xml:space="preserve">) and glucose are of </w:t>
      </w:r>
      <w:r w:rsidRPr="00DF0255">
        <w:rPr>
          <w:rFonts w:asciiTheme="minorHAnsi" w:hAnsiTheme="minorHAnsi"/>
          <w:sz w:val="24"/>
        </w:rPr>
        <w:t>utmost importance in many different contexts</w:t>
      </w:r>
      <w:r>
        <w:rPr>
          <w:rFonts w:asciiTheme="minorHAnsi" w:hAnsiTheme="minorHAnsi"/>
          <w:sz w:val="24"/>
        </w:rPr>
        <w:t xml:space="preserve">. In the case of </w:t>
      </w:r>
      <w:r w:rsidRPr="00DF0255">
        <w:rPr>
          <w:rFonts w:asciiTheme="minorHAnsi" w:hAnsiTheme="minorHAnsi"/>
          <w:sz w:val="24"/>
        </w:rPr>
        <w:t>H</w:t>
      </w:r>
      <w:r w:rsidRPr="00DF0255">
        <w:rPr>
          <w:rFonts w:asciiTheme="minorHAnsi" w:hAnsiTheme="minorHAnsi"/>
          <w:sz w:val="24"/>
          <w:vertAlign w:val="subscript"/>
        </w:rPr>
        <w:t>2</w:t>
      </w:r>
      <w:r w:rsidRPr="00DF0255">
        <w:rPr>
          <w:rFonts w:asciiTheme="minorHAnsi" w:hAnsiTheme="minorHAnsi"/>
          <w:sz w:val="24"/>
        </w:rPr>
        <w:t>O</w:t>
      </w:r>
      <w:r w:rsidRPr="00DF0255">
        <w:rPr>
          <w:rFonts w:asciiTheme="minorHAnsi" w:hAnsiTheme="minorHAnsi"/>
          <w:sz w:val="24"/>
          <w:vertAlign w:val="subscript"/>
        </w:rPr>
        <w:t>2</w:t>
      </w:r>
      <w:r>
        <w:rPr>
          <w:rFonts w:asciiTheme="minorHAnsi" w:hAnsiTheme="minorHAnsi"/>
          <w:sz w:val="24"/>
          <w:vertAlign w:val="subscript"/>
        </w:rPr>
        <w:t xml:space="preserve"> </w:t>
      </w:r>
      <w:r w:rsidRPr="00DF0255">
        <w:rPr>
          <w:rFonts w:asciiTheme="minorHAnsi" w:hAnsiTheme="minorHAnsi"/>
          <w:sz w:val="24"/>
        </w:rPr>
        <w:t>it is an essential mediator</w:t>
      </w:r>
      <w:r>
        <w:rPr>
          <w:rFonts w:asciiTheme="minorHAnsi" w:hAnsiTheme="minorHAnsi"/>
          <w:sz w:val="24"/>
        </w:rPr>
        <w:t xml:space="preserve"> </w:t>
      </w:r>
      <w:r w:rsidRPr="00DF0255">
        <w:rPr>
          <w:rFonts w:asciiTheme="minorHAnsi" w:hAnsiTheme="minorHAnsi"/>
          <w:sz w:val="24"/>
        </w:rPr>
        <w:t>in food, pharmaceutical, clinical, and environmental analysis and glucose</w:t>
      </w:r>
      <w:r>
        <w:rPr>
          <w:rFonts w:asciiTheme="minorHAnsi" w:hAnsiTheme="minorHAnsi"/>
          <w:sz w:val="24"/>
        </w:rPr>
        <w:t xml:space="preserve"> </w:t>
      </w:r>
      <w:r w:rsidRPr="00DF0255">
        <w:rPr>
          <w:rFonts w:asciiTheme="minorHAnsi" w:hAnsiTheme="minorHAnsi"/>
          <w:sz w:val="24"/>
        </w:rPr>
        <w:t>plays a very important role to human’s</w:t>
      </w:r>
      <w:r>
        <w:rPr>
          <w:rFonts w:asciiTheme="minorHAnsi" w:hAnsiTheme="minorHAnsi"/>
          <w:sz w:val="24"/>
        </w:rPr>
        <w:t xml:space="preserve"> </w:t>
      </w:r>
      <w:r w:rsidRPr="00DF0255">
        <w:rPr>
          <w:rFonts w:asciiTheme="minorHAnsi" w:hAnsiTheme="minorHAnsi"/>
          <w:sz w:val="24"/>
        </w:rPr>
        <w:t>healthy, especially for the diagnosis and management of diabetes</w:t>
      </w:r>
      <w:r>
        <w:rPr>
          <w:rFonts w:asciiTheme="minorHAnsi" w:hAnsiTheme="minorHAnsi"/>
          <w:sz w:val="24"/>
        </w:rPr>
        <w:t xml:space="preserve"> </w:t>
      </w:r>
      <w:r w:rsidRPr="00DF0255">
        <w:rPr>
          <w:rFonts w:asciiTheme="minorHAnsi" w:hAnsiTheme="minorHAnsi"/>
          <w:sz w:val="24"/>
        </w:rPr>
        <w:t>mellitus</w:t>
      </w:r>
      <w:r>
        <w:rPr>
          <w:rFonts w:asciiTheme="minorHAnsi" w:hAnsiTheme="minorHAnsi"/>
          <w:sz w:val="24"/>
        </w:rPr>
        <w:t>. In this project the use of sensor and biosensor for the detection of both compounds will be carried out</w:t>
      </w:r>
      <w:r w:rsidR="00A44598">
        <w:rPr>
          <w:rFonts w:asciiTheme="minorHAnsi" w:hAnsiTheme="minorHAnsi"/>
          <w:sz w:val="24"/>
        </w:rPr>
        <w:fldChar w:fldCharType="begin" w:fldLock="1"/>
      </w:r>
      <w:r w:rsidR="00A44598">
        <w:rPr>
          <w:rFonts w:asciiTheme="minorHAnsi" w:hAnsiTheme="minorHAnsi"/>
          <w:sz w:val="24"/>
        </w:rPr>
        <w:instrText>ADDIN CSL_CITATION { "citationItems" : [ { "id" : "ITEM-1", "itemData" : { "DOI" : "10.3390/s100504558", "ISSN" : "1424-8220", "PMID" : "22399892", "abstract" : "Blood glucose monitoring has been established as a valuable tool in the management of diabetes. Since maintaining normal blood glucose levels is recommended, a series of suitable glucose biosensors have been developed. During the last 50 years, glucose biosensor technology including point-of-care devices, continuous glucose monitoring systems and noninvasive glucose monitoring systems has been significantly improved. However, there continues to be several challenges related to the achievement of accurate and reliable glucose monitoring. Further technical improvements in glucose biosensors, standardization of the analytical goals for their performance, and continuously assessing and training lay users are required. This article reviews the brief history, basic principles, analytical performance, and the present status of glucose biosensors in the clinical practice.", "author" : [ { "dropping-particle" : "", "family" : "Yoo", "given" : "Eun-Hyung", "non-dropping-particle" : "", "parse-names" : false, "suffix" : "" }, { "dropping-particle" : "", "family" : "Lee", "given" : "Soo-Youn", "non-dropping-particle" : "", "parse-names" : false, "suffix" : "" } ], "container-title" : "Sensors (Basel, Switzerland)", "id" : "ITEM-1", "issue" : "5", "issued" : { "date-parts" : [ [ "2010", "1" ] ] }, "page" : "4558-76", "title" : "Glucose biosensors: an overview of use in clinical practice.", "type" : "article-journal", "volume" : "10" }, "uris" : [ "http://www.mendeley.com/documents/?uuid=889632ef-2acc-4660-9e74-42d8dfbad90f" ] } ], "mendeley" : { "formattedCitation" : "[1]", "plainTextFormattedCitation" : "[1]", "previouslyFormattedCitation" : "[1]" }, "properties" : { "noteIndex" : 0 }, "schema" : "https://github.com/citation-style-language/schema/raw/master/csl-citation.json" }</w:instrText>
      </w:r>
      <w:r w:rsidR="00A44598">
        <w:rPr>
          <w:rFonts w:asciiTheme="minorHAnsi" w:hAnsiTheme="minorHAnsi"/>
          <w:sz w:val="24"/>
        </w:rPr>
        <w:fldChar w:fldCharType="separate"/>
      </w:r>
      <w:r w:rsidR="00A44598" w:rsidRPr="00A44598">
        <w:rPr>
          <w:rFonts w:asciiTheme="minorHAnsi" w:hAnsiTheme="minorHAnsi"/>
          <w:noProof/>
          <w:sz w:val="24"/>
        </w:rPr>
        <w:t>[1]</w:t>
      </w:r>
      <w:r w:rsidR="00A44598">
        <w:rPr>
          <w:rFonts w:asciiTheme="minorHAnsi" w:hAnsiTheme="minorHAnsi"/>
          <w:sz w:val="24"/>
        </w:rPr>
        <w:fldChar w:fldCharType="end"/>
      </w:r>
      <w:r>
        <w:rPr>
          <w:rFonts w:asciiTheme="minorHAnsi" w:hAnsiTheme="minorHAnsi"/>
          <w:sz w:val="24"/>
        </w:rPr>
        <w:t>. Many different sur</w:t>
      </w:r>
      <w:r w:rsidR="00CD729C">
        <w:rPr>
          <w:rFonts w:asciiTheme="minorHAnsi" w:hAnsiTheme="minorHAnsi"/>
          <w:sz w:val="24"/>
        </w:rPr>
        <w:t>faces have</w:t>
      </w:r>
      <w:r w:rsidR="00E24814">
        <w:rPr>
          <w:rFonts w:asciiTheme="minorHAnsi" w:hAnsiTheme="minorHAnsi"/>
          <w:sz w:val="24"/>
        </w:rPr>
        <w:t xml:space="preserve"> been used to determine </w:t>
      </w:r>
      <w:r w:rsidR="00E24814" w:rsidRPr="00E24814">
        <w:rPr>
          <w:rFonts w:asciiTheme="minorHAnsi" w:hAnsiTheme="minorHAnsi"/>
          <w:sz w:val="24"/>
        </w:rPr>
        <w:t xml:space="preserve">both compounds in a sensitive and selective </w:t>
      </w:r>
      <w:r w:rsidR="00E24814">
        <w:rPr>
          <w:rFonts w:asciiTheme="minorHAnsi" w:hAnsiTheme="minorHAnsi"/>
          <w:sz w:val="24"/>
        </w:rPr>
        <w:t xml:space="preserve">way. </w:t>
      </w:r>
      <w:r w:rsidR="00CD729C">
        <w:rPr>
          <w:rFonts w:asciiTheme="minorHAnsi" w:hAnsiTheme="minorHAnsi"/>
          <w:sz w:val="24"/>
        </w:rPr>
        <w:t xml:space="preserve">The </w:t>
      </w:r>
      <w:r w:rsidR="001C211B">
        <w:rPr>
          <w:rFonts w:asciiTheme="minorHAnsi" w:hAnsiTheme="minorHAnsi"/>
          <w:sz w:val="24"/>
        </w:rPr>
        <w:t>proposal</w:t>
      </w:r>
      <w:r w:rsidR="00CD729C">
        <w:rPr>
          <w:rFonts w:asciiTheme="minorHAnsi" w:hAnsiTheme="minorHAnsi"/>
          <w:sz w:val="24"/>
        </w:rPr>
        <w:t xml:space="preserve"> of this thesis</w:t>
      </w:r>
      <w:r>
        <w:rPr>
          <w:rFonts w:asciiTheme="minorHAnsi" w:hAnsiTheme="minorHAnsi"/>
          <w:sz w:val="24"/>
        </w:rPr>
        <w:t xml:space="preserve"> is to use ferrites nanoparticles </w:t>
      </w:r>
      <w:r w:rsidR="00E24814">
        <w:rPr>
          <w:rFonts w:asciiTheme="minorHAnsi" w:hAnsiTheme="minorHAnsi"/>
          <w:sz w:val="24"/>
        </w:rPr>
        <w:t>obtained by electrochemical synthesis. Ferrites are composed by a mixture of iron (III) and another metal (II) (M</w:t>
      </w:r>
      <w:r w:rsidR="00E24814" w:rsidRPr="00A32B81">
        <w:rPr>
          <w:rFonts w:asciiTheme="minorHAnsi" w:hAnsiTheme="minorHAnsi"/>
          <w:sz w:val="24"/>
          <w:vertAlign w:val="superscript"/>
        </w:rPr>
        <w:t>2+</w:t>
      </w:r>
      <w:r w:rsidR="00CD729C">
        <w:rPr>
          <w:rFonts w:asciiTheme="minorHAnsi" w:hAnsiTheme="minorHAnsi"/>
          <w:sz w:val="24"/>
        </w:rPr>
        <w:t>: Co, Ni, Fe</w:t>
      </w:r>
      <w:r w:rsidR="00E24814">
        <w:rPr>
          <w:rFonts w:asciiTheme="minorHAnsi" w:hAnsiTheme="minorHAnsi"/>
          <w:sz w:val="24"/>
        </w:rPr>
        <w:t>) oxides. However, the roll of the M</w:t>
      </w:r>
      <w:r w:rsidR="00E24814" w:rsidRPr="00A32B81">
        <w:rPr>
          <w:rFonts w:asciiTheme="minorHAnsi" w:hAnsiTheme="minorHAnsi"/>
          <w:sz w:val="24"/>
          <w:vertAlign w:val="superscript"/>
        </w:rPr>
        <w:t>2+</w:t>
      </w:r>
      <w:r w:rsidR="00E24814">
        <w:rPr>
          <w:rFonts w:asciiTheme="minorHAnsi" w:hAnsiTheme="minorHAnsi"/>
          <w:sz w:val="24"/>
        </w:rPr>
        <w:t xml:space="preserve"> in the catalytic reaction mechanism remains unclear, because the nanoparticle size dispersion, and the Fe</w:t>
      </w:r>
      <w:r w:rsidR="00E24814" w:rsidRPr="00A32B81">
        <w:rPr>
          <w:rFonts w:asciiTheme="minorHAnsi" w:hAnsiTheme="minorHAnsi"/>
          <w:sz w:val="24"/>
          <w:vertAlign w:val="superscript"/>
        </w:rPr>
        <w:t>3+</w:t>
      </w:r>
      <w:r w:rsidR="00E24814">
        <w:rPr>
          <w:rFonts w:asciiTheme="minorHAnsi" w:hAnsiTheme="minorHAnsi"/>
          <w:sz w:val="24"/>
        </w:rPr>
        <w:t>/M</w:t>
      </w:r>
      <w:r w:rsidR="00E24814" w:rsidRPr="00A32B81">
        <w:rPr>
          <w:rFonts w:asciiTheme="minorHAnsi" w:hAnsiTheme="minorHAnsi"/>
          <w:sz w:val="24"/>
          <w:vertAlign w:val="superscript"/>
        </w:rPr>
        <w:t>2+</w:t>
      </w:r>
      <w:r w:rsidR="00E24814">
        <w:rPr>
          <w:rFonts w:asciiTheme="minorHAnsi" w:hAnsiTheme="minorHAnsi"/>
          <w:sz w:val="24"/>
        </w:rPr>
        <w:t xml:space="preserve"> </w:t>
      </w:r>
      <w:r w:rsidR="001C211B">
        <w:rPr>
          <w:rFonts w:asciiTheme="minorHAnsi" w:hAnsiTheme="minorHAnsi"/>
          <w:sz w:val="24"/>
        </w:rPr>
        <w:t xml:space="preserve">ratio </w:t>
      </w:r>
      <w:r w:rsidR="00E24814">
        <w:rPr>
          <w:rFonts w:asciiTheme="minorHAnsi" w:hAnsiTheme="minorHAnsi"/>
          <w:sz w:val="24"/>
        </w:rPr>
        <w:t>could affect the catalytic activity and should be taken in account</w:t>
      </w:r>
      <w:r w:rsidR="00A44598">
        <w:rPr>
          <w:rFonts w:asciiTheme="minorHAnsi" w:hAnsiTheme="minorHAnsi"/>
          <w:sz w:val="24"/>
        </w:rPr>
        <w:fldChar w:fldCharType="begin" w:fldLock="1"/>
      </w:r>
      <w:r w:rsidR="00A44598">
        <w:rPr>
          <w:rFonts w:asciiTheme="minorHAnsi" w:hAnsiTheme="minorHAnsi"/>
          <w:sz w:val="24"/>
        </w:rPr>
        <w:instrText>ADDIN CSL_CITATION { "citationItems" : [ { "id" : "ITEM-1", "itemData" : { "DOI" : "10.1016/j.snb.2010.06.020", "ISSN" : "09254005", "author" : [ { "dropping-particle" : "", "family" : "Comba", "given" : "Fausto N.", "non-dropping-particle" : "", "parse-names" : false, "suffix" : "" }, { "dropping-particle" : "", "family" : "Rubianes", "given" : "Mar\u00eda D.", "non-dropping-particle" : "", "parse-names" : false, "suffix" : "" }, { "dropping-particle" : "", "family" : "Herrasti", "given" : "Pilar", "non-dropping-particle" : "", "parse-names" : false, "suffix" : "" }, { "dropping-particle" : "", "family" : "Rivas", "given" : "Gustavo a.", "non-dropping-particle" : "", "parse-names" : false, "suffix" : "" } ], "container-title" : "Sensors and Actuators B: Chemical", "id" : "ITEM-1", "issue" : "1", "issued" : { "date-parts" : [ [ "2010", "8" ] ] }, "page" : "306-309", "publisher" : "Elsevier B.V.", "title" : "Glucose biosensing at carbon paste electrodes containing iron nanoparticles", "type" : "article-journal", "volume" : "149" }, "uris" : [ "http://www.mendeley.com/documents/?uuid=45703eeb-99fb-4157-ae9a-f68b4ed79b91" ] } ], "mendeley" : { "formattedCitation" : "[2]", "plainTextFormattedCitation" : "[2]", "previouslyFormattedCitation" : "[2]" }, "properties" : { "noteIndex" : 0 }, "schema" : "https://github.com/citation-style-language/schema/raw/master/csl-citation.json" }</w:instrText>
      </w:r>
      <w:r w:rsidR="00A44598">
        <w:rPr>
          <w:rFonts w:asciiTheme="minorHAnsi" w:hAnsiTheme="minorHAnsi"/>
          <w:sz w:val="24"/>
        </w:rPr>
        <w:fldChar w:fldCharType="separate"/>
      </w:r>
      <w:r w:rsidR="00A44598" w:rsidRPr="00A44598">
        <w:rPr>
          <w:rFonts w:asciiTheme="minorHAnsi" w:hAnsiTheme="minorHAnsi"/>
          <w:noProof/>
          <w:sz w:val="24"/>
        </w:rPr>
        <w:t>[2]</w:t>
      </w:r>
      <w:r w:rsidR="00A44598">
        <w:rPr>
          <w:rFonts w:asciiTheme="minorHAnsi" w:hAnsiTheme="minorHAnsi"/>
          <w:sz w:val="24"/>
        </w:rPr>
        <w:fldChar w:fldCharType="end"/>
      </w:r>
      <w:r w:rsidR="00CD729C">
        <w:rPr>
          <w:rFonts w:asciiTheme="minorHAnsi" w:hAnsiTheme="minorHAnsi"/>
          <w:sz w:val="24"/>
        </w:rPr>
        <w:t xml:space="preserve">. </w:t>
      </w:r>
      <w:r w:rsidR="00CD729C" w:rsidRPr="007F4BDB">
        <w:rPr>
          <w:rFonts w:asciiTheme="minorHAnsi" w:hAnsiTheme="minorHAnsi"/>
          <w:sz w:val="24"/>
        </w:rPr>
        <w:t>The aim of this project is to improve enzyme immobilization</w:t>
      </w:r>
      <w:r w:rsidR="00CD729C">
        <w:rPr>
          <w:rFonts w:asciiTheme="minorHAnsi" w:hAnsiTheme="minorHAnsi"/>
          <w:sz w:val="24"/>
        </w:rPr>
        <w:t xml:space="preserve"> at electrode surface with the inclusion of magnetic nanoparticles to be used as biosensors, and to elucidate the catalytic mechanism of these materials. The electro</w:t>
      </w:r>
      <w:r w:rsidR="00AE210E">
        <w:rPr>
          <w:rFonts w:asciiTheme="minorHAnsi" w:hAnsiTheme="minorHAnsi"/>
          <w:sz w:val="24"/>
        </w:rPr>
        <w:t>-</w:t>
      </w:r>
      <w:r w:rsidR="00CD729C">
        <w:rPr>
          <w:rFonts w:asciiTheme="minorHAnsi" w:hAnsiTheme="minorHAnsi"/>
          <w:sz w:val="24"/>
        </w:rPr>
        <w:t>synthesi</w:t>
      </w:r>
      <w:r w:rsidR="00AE210E">
        <w:rPr>
          <w:rFonts w:asciiTheme="minorHAnsi" w:hAnsiTheme="minorHAnsi"/>
          <w:sz w:val="24"/>
        </w:rPr>
        <w:t>zed</w:t>
      </w:r>
      <w:r w:rsidR="00CD729C">
        <w:rPr>
          <w:rFonts w:asciiTheme="minorHAnsi" w:hAnsiTheme="minorHAnsi"/>
          <w:sz w:val="24"/>
        </w:rPr>
        <w:t xml:space="preserve"> ferrites with similar size and Fe/M</w:t>
      </w:r>
      <w:r w:rsidR="00CD729C" w:rsidRPr="00DE3F1E">
        <w:rPr>
          <w:rFonts w:asciiTheme="minorHAnsi" w:hAnsiTheme="minorHAnsi"/>
          <w:sz w:val="24"/>
          <w:vertAlign w:val="superscript"/>
        </w:rPr>
        <w:t>2+</w:t>
      </w:r>
      <w:r w:rsidR="001C211B">
        <w:rPr>
          <w:rFonts w:asciiTheme="minorHAnsi" w:hAnsiTheme="minorHAnsi"/>
          <w:sz w:val="24"/>
        </w:rPr>
        <w:t xml:space="preserve"> ratio</w:t>
      </w:r>
      <w:r w:rsidR="00CD729C">
        <w:rPr>
          <w:rFonts w:asciiTheme="minorHAnsi" w:hAnsiTheme="minorHAnsi"/>
          <w:sz w:val="24"/>
        </w:rPr>
        <w:t xml:space="preserve"> will be used to prepare modified glassy carbon and neodymium magnet electrodes. The </w:t>
      </w:r>
      <w:proofErr w:type="spellStart"/>
      <w:r w:rsidR="00CD729C">
        <w:rPr>
          <w:rFonts w:asciiTheme="minorHAnsi" w:hAnsiTheme="minorHAnsi"/>
          <w:sz w:val="24"/>
        </w:rPr>
        <w:t>amperometric</w:t>
      </w:r>
      <w:proofErr w:type="spellEnd"/>
      <w:r w:rsidR="00CD729C">
        <w:rPr>
          <w:rFonts w:asciiTheme="minorHAnsi" w:hAnsiTheme="minorHAnsi"/>
          <w:sz w:val="24"/>
        </w:rPr>
        <w:t xml:space="preserve"> response of these electrodes will be analyzed. The first results show that M</w:t>
      </w:r>
      <w:r w:rsidR="00CD729C" w:rsidRPr="008601F5">
        <w:rPr>
          <w:rFonts w:asciiTheme="minorHAnsi" w:hAnsiTheme="minorHAnsi"/>
          <w:sz w:val="24"/>
          <w:vertAlign w:val="superscript"/>
        </w:rPr>
        <w:t>2+</w:t>
      </w:r>
      <w:r w:rsidR="00CD729C">
        <w:rPr>
          <w:rFonts w:asciiTheme="minorHAnsi" w:hAnsiTheme="minorHAnsi"/>
          <w:sz w:val="24"/>
        </w:rPr>
        <w:t xml:space="preserve"> in the ferrite structure has an important role in the catalytic mechanism, increasing the catalytic properties from Fe,</w:t>
      </w:r>
      <w:r w:rsidR="001C211B">
        <w:rPr>
          <w:rFonts w:asciiTheme="minorHAnsi" w:hAnsiTheme="minorHAnsi"/>
          <w:sz w:val="24"/>
        </w:rPr>
        <w:t xml:space="preserve"> Co </w:t>
      </w:r>
      <w:r w:rsidR="00CD729C">
        <w:rPr>
          <w:rFonts w:asciiTheme="minorHAnsi" w:hAnsiTheme="minorHAnsi"/>
          <w:sz w:val="24"/>
        </w:rPr>
        <w:t xml:space="preserve">and Ni, </w:t>
      </w:r>
      <w:r w:rsidR="001C211B">
        <w:rPr>
          <w:rFonts w:asciiTheme="minorHAnsi" w:hAnsiTheme="minorHAnsi"/>
          <w:sz w:val="24"/>
        </w:rPr>
        <w:t>respectively. When magnetite (Fe</w:t>
      </w:r>
      <w:r w:rsidR="001C211B">
        <w:rPr>
          <w:rFonts w:asciiTheme="minorHAnsi" w:hAnsiTheme="minorHAnsi"/>
          <w:sz w:val="24"/>
          <w:vertAlign w:val="subscript"/>
        </w:rPr>
        <w:t>3</w:t>
      </w:r>
      <w:r w:rsidR="001C211B">
        <w:rPr>
          <w:rFonts w:asciiTheme="minorHAnsi" w:hAnsiTheme="minorHAnsi"/>
          <w:sz w:val="24"/>
        </w:rPr>
        <w:t>O</w:t>
      </w:r>
      <w:r w:rsidR="001C211B">
        <w:rPr>
          <w:rFonts w:asciiTheme="minorHAnsi" w:hAnsiTheme="minorHAnsi"/>
          <w:sz w:val="24"/>
          <w:vertAlign w:val="subscript"/>
        </w:rPr>
        <w:t>4</w:t>
      </w:r>
      <w:r w:rsidR="001C211B">
        <w:rPr>
          <w:rFonts w:asciiTheme="minorHAnsi" w:hAnsiTheme="minorHAnsi"/>
          <w:sz w:val="24"/>
        </w:rPr>
        <w:t>) is used no interferences with other compounds have been detected and real sample can be measured</w:t>
      </w:r>
      <w:r w:rsidR="00CD729C">
        <w:rPr>
          <w:rFonts w:asciiTheme="minorHAnsi" w:hAnsiTheme="minorHAnsi"/>
          <w:sz w:val="24"/>
        </w:rPr>
        <w:t xml:space="preserve"> with good precision. The next </w:t>
      </w:r>
      <w:r w:rsidR="001C211B">
        <w:rPr>
          <w:rFonts w:asciiTheme="minorHAnsi" w:hAnsiTheme="minorHAnsi"/>
          <w:sz w:val="24"/>
        </w:rPr>
        <w:t>step</w:t>
      </w:r>
      <w:r w:rsidR="00CD729C">
        <w:rPr>
          <w:rFonts w:asciiTheme="minorHAnsi" w:hAnsiTheme="minorHAnsi"/>
          <w:sz w:val="24"/>
        </w:rPr>
        <w:t xml:space="preserve"> is to develop a biosensor for glucose. </w:t>
      </w:r>
      <w:r w:rsidR="001C211B">
        <w:rPr>
          <w:rFonts w:asciiTheme="minorHAnsi" w:hAnsiTheme="minorHAnsi"/>
          <w:sz w:val="24"/>
        </w:rPr>
        <w:t xml:space="preserve">Glucose </w:t>
      </w:r>
      <w:proofErr w:type="spellStart"/>
      <w:r w:rsidR="001C211B">
        <w:rPr>
          <w:rFonts w:asciiTheme="minorHAnsi" w:hAnsiTheme="minorHAnsi"/>
          <w:sz w:val="24"/>
        </w:rPr>
        <w:t>oxidase</w:t>
      </w:r>
      <w:proofErr w:type="spellEnd"/>
      <w:r w:rsidR="00CD729C">
        <w:rPr>
          <w:rFonts w:asciiTheme="minorHAnsi" w:hAnsiTheme="minorHAnsi"/>
          <w:sz w:val="24"/>
        </w:rPr>
        <w:t xml:space="preserve"> </w:t>
      </w:r>
      <w:r w:rsidR="001C211B">
        <w:rPr>
          <w:rFonts w:asciiTheme="minorHAnsi" w:hAnsiTheme="minorHAnsi"/>
          <w:sz w:val="24"/>
        </w:rPr>
        <w:t>(</w:t>
      </w:r>
      <w:proofErr w:type="spellStart"/>
      <w:r w:rsidR="001C211B">
        <w:rPr>
          <w:rFonts w:asciiTheme="minorHAnsi" w:hAnsiTheme="minorHAnsi"/>
          <w:sz w:val="24"/>
        </w:rPr>
        <w:t>GOx</w:t>
      </w:r>
      <w:proofErr w:type="spellEnd"/>
      <w:r w:rsidR="001C211B">
        <w:rPr>
          <w:rFonts w:asciiTheme="minorHAnsi" w:hAnsiTheme="minorHAnsi"/>
          <w:sz w:val="24"/>
        </w:rPr>
        <w:t xml:space="preserve">) </w:t>
      </w:r>
      <w:r w:rsidR="00CD729C">
        <w:rPr>
          <w:rFonts w:asciiTheme="minorHAnsi" w:hAnsiTheme="minorHAnsi"/>
          <w:sz w:val="24"/>
        </w:rPr>
        <w:t>will be supported in the modified electrode by different techn</w:t>
      </w:r>
      <w:r w:rsidR="001C211B">
        <w:rPr>
          <w:rFonts w:asciiTheme="minorHAnsi" w:hAnsiTheme="minorHAnsi"/>
          <w:sz w:val="24"/>
        </w:rPr>
        <w:t xml:space="preserve">iques, like </w:t>
      </w:r>
      <w:proofErr w:type="spellStart"/>
      <w:r w:rsidR="001C211B" w:rsidRPr="001C211B">
        <w:rPr>
          <w:rFonts w:asciiTheme="minorHAnsi" w:hAnsiTheme="minorHAnsi"/>
          <w:sz w:val="24"/>
        </w:rPr>
        <w:t>physisorption</w:t>
      </w:r>
      <w:proofErr w:type="spellEnd"/>
      <w:r w:rsidR="001C211B">
        <w:rPr>
          <w:rFonts w:asciiTheme="minorHAnsi" w:hAnsiTheme="minorHAnsi"/>
          <w:sz w:val="24"/>
        </w:rPr>
        <w:t xml:space="preserve"> </w:t>
      </w:r>
      <w:r w:rsidR="00CD729C">
        <w:rPr>
          <w:rFonts w:asciiTheme="minorHAnsi" w:hAnsiTheme="minorHAnsi"/>
          <w:sz w:val="24"/>
        </w:rPr>
        <w:t>by drop-coating or dip-coating, physical entrapment and covalent modification</w:t>
      </w:r>
      <w:r w:rsidR="001C211B">
        <w:rPr>
          <w:rFonts w:asciiTheme="minorHAnsi" w:hAnsiTheme="minorHAnsi"/>
          <w:sz w:val="24"/>
        </w:rPr>
        <w:t>.</w:t>
      </w:r>
    </w:p>
    <w:p w:rsidR="001C211B" w:rsidRPr="0065677F" w:rsidRDefault="001C211B" w:rsidP="00A44598">
      <w:pPr>
        <w:spacing w:after="120"/>
        <w:ind w:left="142"/>
        <w:jc w:val="both"/>
        <w:rPr>
          <w:rFonts w:asciiTheme="minorHAnsi" w:hAnsiTheme="minorHAnsi"/>
          <w:i/>
          <w:lang w:val="es-ES"/>
        </w:rPr>
      </w:pPr>
      <w:r w:rsidRPr="0065677F">
        <w:rPr>
          <w:rFonts w:asciiTheme="minorHAnsi" w:hAnsiTheme="minorHAnsi"/>
          <w:i/>
          <w:lang w:val="es-ES"/>
        </w:rPr>
        <w:t>ADVISERS/MENTORS</w:t>
      </w:r>
    </w:p>
    <w:p w:rsidR="001C211B" w:rsidRPr="0065677F" w:rsidRDefault="001C211B" w:rsidP="001C211B">
      <w:pPr>
        <w:ind w:left="142"/>
        <w:jc w:val="both"/>
        <w:rPr>
          <w:rFonts w:asciiTheme="minorHAnsi" w:hAnsiTheme="minorHAnsi"/>
          <w:sz w:val="24"/>
          <w:lang w:val="es-ES"/>
        </w:rPr>
      </w:pPr>
      <w:r w:rsidRPr="0065677F">
        <w:rPr>
          <w:rFonts w:asciiTheme="minorHAnsi" w:hAnsiTheme="minorHAnsi"/>
          <w:sz w:val="24"/>
          <w:lang w:val="es-ES"/>
        </w:rPr>
        <w:t>Pilar Herrasti, Universidad Autónoma de Madrid</w:t>
      </w:r>
    </w:p>
    <w:p w:rsidR="001C211B" w:rsidRPr="0065677F" w:rsidRDefault="001C211B" w:rsidP="00FF6AAC">
      <w:pPr>
        <w:spacing w:after="240"/>
        <w:ind w:left="142"/>
        <w:jc w:val="both"/>
        <w:rPr>
          <w:rFonts w:asciiTheme="minorHAnsi" w:hAnsiTheme="minorHAnsi"/>
          <w:sz w:val="24"/>
          <w:lang w:val="es-ES"/>
        </w:rPr>
      </w:pPr>
      <w:r w:rsidRPr="0065677F">
        <w:rPr>
          <w:rFonts w:asciiTheme="minorHAnsi" w:hAnsiTheme="minorHAnsi"/>
          <w:sz w:val="24"/>
          <w:lang w:val="es-ES"/>
        </w:rPr>
        <w:t>Silvia Gutiérrez Granados, Universidad de Guanajuato</w:t>
      </w:r>
    </w:p>
    <w:p w:rsidR="00A44598" w:rsidRDefault="001C211B" w:rsidP="00FF6AAC">
      <w:pPr>
        <w:spacing w:before="240" w:after="120"/>
        <w:ind w:left="142"/>
        <w:jc w:val="both"/>
        <w:divId w:val="692417015"/>
        <w:rPr>
          <w:rFonts w:asciiTheme="minorHAnsi" w:hAnsiTheme="minorHAnsi"/>
          <w:b/>
          <w:sz w:val="24"/>
        </w:rPr>
      </w:pPr>
      <w:r w:rsidRPr="00105354">
        <w:rPr>
          <w:rFonts w:asciiTheme="minorHAnsi" w:hAnsiTheme="minorHAnsi"/>
          <w:b/>
          <w:sz w:val="24"/>
        </w:rPr>
        <w:t>REFERENCES</w:t>
      </w:r>
      <w:bookmarkStart w:id="0" w:name="_GoBack"/>
      <w:bookmarkEnd w:id="0"/>
    </w:p>
    <w:p w:rsidR="00A44598" w:rsidRPr="00A44598" w:rsidRDefault="00A44598" w:rsidP="00A44598">
      <w:pPr>
        <w:jc w:val="both"/>
        <w:divId w:val="692417015"/>
        <w:rPr>
          <w:rFonts w:ascii="Calibri" w:eastAsiaTheme="minorEastAsia" w:hAnsi="Calibri"/>
          <w:noProof/>
          <w:sz w:val="24"/>
        </w:rPr>
      </w:pPr>
      <w:r>
        <w:rPr>
          <w:rFonts w:asciiTheme="minorHAnsi" w:hAnsiTheme="minorHAnsi"/>
          <w:b/>
          <w:bCs/>
        </w:rPr>
        <w:fldChar w:fldCharType="begin" w:fldLock="1"/>
      </w:r>
      <w:r>
        <w:rPr>
          <w:rFonts w:asciiTheme="minorHAnsi" w:hAnsiTheme="minorHAnsi"/>
          <w:b/>
          <w:bCs/>
        </w:rPr>
        <w:instrText xml:space="preserve">ADDIN Mendeley Bibliography CSL_BIBLIOGRAPHY </w:instrText>
      </w:r>
      <w:r>
        <w:rPr>
          <w:rFonts w:asciiTheme="minorHAnsi" w:hAnsiTheme="minorHAnsi"/>
          <w:b/>
          <w:bCs/>
        </w:rPr>
        <w:fldChar w:fldCharType="separate"/>
      </w:r>
      <w:r>
        <w:rPr>
          <w:rFonts w:ascii="Calibri" w:hAnsi="Calibri"/>
          <w:noProof/>
          <w:sz w:val="24"/>
        </w:rPr>
        <w:t xml:space="preserve">[1]      </w:t>
      </w:r>
      <w:r w:rsidRPr="00A44598">
        <w:rPr>
          <w:rFonts w:ascii="Calibri" w:hAnsi="Calibri"/>
          <w:noProof/>
          <w:sz w:val="24"/>
        </w:rPr>
        <w:t xml:space="preserve">E.-H. Yoo and S.-Y. Lee, </w:t>
      </w:r>
      <w:r w:rsidRPr="00A44598">
        <w:rPr>
          <w:rFonts w:ascii="Calibri" w:hAnsi="Calibri"/>
          <w:i/>
          <w:iCs/>
          <w:noProof/>
          <w:sz w:val="24"/>
        </w:rPr>
        <w:t>Sensors (Basel).</w:t>
      </w:r>
      <w:r>
        <w:rPr>
          <w:rFonts w:ascii="Calibri" w:hAnsi="Calibri"/>
          <w:noProof/>
          <w:sz w:val="24"/>
        </w:rPr>
        <w:t xml:space="preserve">, </w:t>
      </w:r>
      <w:r w:rsidRPr="00A44598">
        <w:rPr>
          <w:rFonts w:ascii="Calibri" w:hAnsi="Calibri"/>
          <w:noProof/>
          <w:sz w:val="24"/>
        </w:rPr>
        <w:t xml:space="preserve">10, </w:t>
      </w:r>
      <w:r>
        <w:rPr>
          <w:rFonts w:ascii="Calibri" w:hAnsi="Calibri"/>
          <w:noProof/>
          <w:sz w:val="24"/>
        </w:rPr>
        <w:t xml:space="preserve">4558–76, </w:t>
      </w:r>
      <w:r w:rsidRPr="00A44598">
        <w:rPr>
          <w:rFonts w:ascii="Calibri" w:hAnsi="Calibri"/>
          <w:noProof/>
          <w:sz w:val="24"/>
        </w:rPr>
        <w:t>2010.</w:t>
      </w:r>
    </w:p>
    <w:p w:rsidR="00A44598" w:rsidRPr="00A44598" w:rsidRDefault="00A44598" w:rsidP="00A44598">
      <w:pPr>
        <w:pStyle w:val="NormalWeb"/>
        <w:spacing w:before="0" w:beforeAutospacing="0" w:after="120" w:afterAutospacing="0"/>
        <w:ind w:left="641" w:hanging="641"/>
        <w:divId w:val="692417015"/>
        <w:rPr>
          <w:rFonts w:ascii="Calibri" w:hAnsi="Calibri"/>
          <w:noProof/>
        </w:rPr>
      </w:pPr>
      <w:r w:rsidRPr="00A44598">
        <w:rPr>
          <w:rFonts w:ascii="Calibri" w:hAnsi="Calibri"/>
          <w:noProof/>
        </w:rPr>
        <w:t>[2]</w:t>
      </w:r>
      <w:r w:rsidRPr="00A44598">
        <w:rPr>
          <w:rFonts w:ascii="Calibri" w:hAnsi="Calibri"/>
          <w:noProof/>
        </w:rPr>
        <w:tab/>
        <w:t>F. N. Comba, M. D.</w:t>
      </w:r>
      <w:r>
        <w:rPr>
          <w:rFonts w:ascii="Calibri" w:hAnsi="Calibri"/>
          <w:noProof/>
        </w:rPr>
        <w:t xml:space="preserve"> Rubianes, P. Herrasti, and G. A</w:t>
      </w:r>
      <w:r w:rsidRPr="00A44598">
        <w:rPr>
          <w:rFonts w:ascii="Calibri" w:hAnsi="Calibri"/>
          <w:noProof/>
        </w:rPr>
        <w:t xml:space="preserve">. Rivas, </w:t>
      </w:r>
      <w:r w:rsidRPr="00A44598">
        <w:rPr>
          <w:rFonts w:ascii="Calibri" w:hAnsi="Calibri"/>
          <w:i/>
          <w:iCs/>
          <w:noProof/>
        </w:rPr>
        <w:t>Sensors Actuators B Chem.</w:t>
      </w:r>
      <w:r w:rsidRPr="00A44598">
        <w:rPr>
          <w:rFonts w:ascii="Calibri" w:hAnsi="Calibri"/>
          <w:noProof/>
        </w:rPr>
        <w:t xml:space="preserve">, 149, 306–309, 2010. </w:t>
      </w:r>
    </w:p>
    <w:p w:rsidR="00A44598" w:rsidRPr="007C1BA5" w:rsidRDefault="00A44598" w:rsidP="00A44598">
      <w:pPr>
        <w:pStyle w:val="NormalWeb"/>
        <w:spacing w:before="0" w:beforeAutospacing="0" w:after="0" w:afterAutospacing="0"/>
        <w:ind w:left="640" w:hanging="640"/>
        <w:rPr>
          <w:rFonts w:asciiTheme="minorHAnsi" w:hAnsiTheme="minorHAnsi"/>
        </w:rPr>
      </w:pPr>
      <w:r>
        <w:rPr>
          <w:rFonts w:asciiTheme="minorHAnsi" w:hAnsiTheme="minorHAnsi"/>
          <w:b/>
          <w:bCs/>
          <w:lang w:val="en-US"/>
        </w:rPr>
        <w:fldChar w:fldCharType="end"/>
      </w:r>
      <w:proofErr w:type="spellStart"/>
      <w:r w:rsidRPr="00A44598">
        <w:rPr>
          <w:rFonts w:asciiTheme="minorHAnsi" w:hAnsiTheme="minorHAnsi"/>
          <w:b/>
        </w:rPr>
        <w:t>Keywords</w:t>
      </w:r>
      <w:proofErr w:type="spellEnd"/>
      <w:r w:rsidRPr="00A44598">
        <w:rPr>
          <w:rFonts w:asciiTheme="minorHAnsi" w:hAnsiTheme="minorHAnsi"/>
          <w:b/>
        </w:rPr>
        <w:t>:</w:t>
      </w:r>
      <w:r>
        <w:rPr>
          <w:rFonts w:asciiTheme="minorHAnsi" w:hAnsiTheme="minorHAnsi"/>
        </w:rPr>
        <w:t xml:space="preserve"> Nanoparticles, </w:t>
      </w:r>
      <w:proofErr w:type="spellStart"/>
      <w:r>
        <w:rPr>
          <w:rFonts w:asciiTheme="minorHAnsi" w:hAnsiTheme="minorHAnsi"/>
        </w:rPr>
        <w:t>ferrites</w:t>
      </w:r>
      <w:proofErr w:type="spellEnd"/>
      <w:r>
        <w:rPr>
          <w:rFonts w:asciiTheme="minorHAnsi" w:hAnsiTheme="minorHAnsi"/>
        </w:rPr>
        <w:t xml:space="preserve">, </w:t>
      </w:r>
      <w:proofErr w:type="spellStart"/>
      <w:r>
        <w:rPr>
          <w:rFonts w:asciiTheme="minorHAnsi" w:hAnsiTheme="minorHAnsi"/>
        </w:rPr>
        <w:t>biosensor</w:t>
      </w:r>
      <w:proofErr w:type="spellEnd"/>
      <w:r>
        <w:rPr>
          <w:rFonts w:asciiTheme="minorHAnsi" w:hAnsiTheme="minorHAnsi"/>
        </w:rPr>
        <w:t>, enzymes, glucose.</w:t>
      </w:r>
    </w:p>
    <w:sectPr w:rsidR="00A44598" w:rsidRPr="007C1BA5" w:rsidSect="00061BBD">
      <w:headerReference w:type="default" r:id="rId8"/>
      <w:footerReference w:type="default" r:id="rId9"/>
      <w:pgSz w:w="11907" w:h="16840" w:code="9"/>
      <w:pgMar w:top="1701"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F5B" w:rsidRDefault="00AF0F5B">
      <w:r>
        <w:separator/>
      </w:r>
    </w:p>
  </w:endnote>
  <w:endnote w:type="continuationSeparator" w:id="0">
    <w:p w:rsidR="00AF0F5B" w:rsidRDefault="00AF0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altName w:val="Times New Roman"/>
    <w:panose1 w:val="020F0302020204030204"/>
    <w:charset w:val="00"/>
    <w:family w:val="swiss"/>
    <w:pitch w:val="variable"/>
    <w:sig w:usb0="A00002EF" w:usb1="4000207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A6B" w:rsidRPr="00761A6B" w:rsidRDefault="00761A6B" w:rsidP="00AA4C4D">
    <w:pPr>
      <w:pStyle w:val="Piedepgina"/>
      <w:pBdr>
        <w:top w:val="single" w:sz="4" w:space="1" w:color="auto"/>
      </w:pBdr>
      <w:rPr>
        <w:rFonts w:asciiTheme="majorHAnsi" w:hAnsiTheme="majorHAnsi"/>
        <w:lang w:val="es-ES"/>
      </w:rPr>
    </w:pPr>
    <w:r w:rsidRPr="00761A6B">
      <w:rPr>
        <w:rFonts w:asciiTheme="majorHAnsi" w:hAnsiTheme="majorHAnsi"/>
        <w:lang w:val="es-ES"/>
      </w:rPr>
      <w:ptab w:relativeTo="margin" w:alignment="center" w:leader="none"/>
    </w:r>
    <w:r w:rsidRPr="00761A6B">
      <w:rPr>
        <w:rFonts w:asciiTheme="majorHAnsi" w:hAnsiTheme="majorHAnsi"/>
        <w:lang w:val="es-ES"/>
      </w:rPr>
      <w:ptab w:relativeTo="margin" w:alignment="right" w:leader="none"/>
    </w:r>
    <w:r w:rsidRPr="00761A6B">
      <w:rPr>
        <w:rFonts w:asciiTheme="majorHAnsi" w:eastAsiaTheme="majorEastAsia" w:hAnsiTheme="majorHAnsi" w:cstheme="majorBidi"/>
        <w:sz w:val="28"/>
        <w:szCs w:val="28"/>
        <w:lang w:val="es-ES"/>
      </w:rPr>
      <w:t xml:space="preserve">p. </w:t>
    </w:r>
    <w:r w:rsidR="00244201" w:rsidRPr="00244201">
      <w:rPr>
        <w:rFonts w:asciiTheme="majorHAnsi" w:eastAsiaTheme="minorEastAsia" w:hAnsiTheme="majorHAnsi" w:cstheme="minorBidi"/>
        <w:sz w:val="22"/>
        <w:szCs w:val="22"/>
        <w:lang w:val="es-ES"/>
      </w:rPr>
      <w:fldChar w:fldCharType="begin"/>
    </w:r>
    <w:r w:rsidRPr="00123F69">
      <w:rPr>
        <w:rFonts w:asciiTheme="majorHAnsi" w:hAnsiTheme="majorHAnsi"/>
        <w:lang w:val="es-ES"/>
      </w:rPr>
      <w:instrText>PAGE    \* MERGEFORMAT</w:instrText>
    </w:r>
    <w:r w:rsidR="00244201" w:rsidRPr="00244201">
      <w:rPr>
        <w:rFonts w:asciiTheme="majorHAnsi" w:eastAsiaTheme="minorEastAsia" w:hAnsiTheme="majorHAnsi" w:cstheme="minorBidi"/>
        <w:sz w:val="22"/>
        <w:szCs w:val="22"/>
        <w:lang w:val="es-ES"/>
      </w:rPr>
      <w:fldChar w:fldCharType="separate"/>
    </w:r>
    <w:r w:rsidR="00EC6702" w:rsidRPr="00EC6702">
      <w:rPr>
        <w:rFonts w:asciiTheme="majorHAnsi" w:eastAsiaTheme="majorEastAsia" w:hAnsiTheme="majorHAnsi" w:cstheme="majorBidi"/>
        <w:noProof/>
        <w:sz w:val="28"/>
        <w:szCs w:val="28"/>
        <w:lang w:val="es-ES"/>
      </w:rPr>
      <w:t>1</w:t>
    </w:r>
    <w:r w:rsidR="00244201" w:rsidRPr="00761A6B">
      <w:rPr>
        <w:rFonts w:asciiTheme="majorHAnsi" w:eastAsiaTheme="majorEastAsia" w:hAnsiTheme="majorHAnsi" w:cstheme="majorBidi"/>
        <w:sz w:val="28"/>
        <w:szCs w:val="28"/>
        <w:lang w:val="es-E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F5B" w:rsidRDefault="00AF0F5B">
      <w:r>
        <w:separator/>
      </w:r>
    </w:p>
  </w:footnote>
  <w:footnote w:type="continuationSeparator" w:id="0">
    <w:p w:rsidR="00AF0F5B" w:rsidRDefault="00AF0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67"/>
      <w:gridCol w:w="5121"/>
      <w:gridCol w:w="1407"/>
    </w:tblGrid>
    <w:tr w:rsidR="00CB2994" w:rsidTr="00CB2994">
      <w:tc>
        <w:tcPr>
          <w:tcW w:w="1967" w:type="dxa"/>
        </w:tcPr>
        <w:p w:rsidR="00CB2994" w:rsidRDefault="00CB2994" w:rsidP="00CB2994">
          <w:pPr>
            <w:pStyle w:val="Encabezado"/>
            <w:tabs>
              <w:tab w:val="clear" w:pos="4252"/>
              <w:tab w:val="left" w:pos="4253"/>
              <w:tab w:val="center" w:pos="4395"/>
            </w:tabs>
            <w:spacing w:line="276" w:lineRule="auto"/>
            <w:rPr>
              <w:rFonts w:asciiTheme="majorHAnsi" w:hAnsiTheme="majorHAnsi"/>
              <w:sz w:val="24"/>
              <w:lang w:val="pt-PT"/>
            </w:rPr>
          </w:pPr>
          <w:r w:rsidRPr="00CB2994">
            <w:rPr>
              <w:rFonts w:asciiTheme="majorHAnsi" w:hAnsiTheme="majorHAnsi"/>
              <w:noProof/>
              <w:sz w:val="24"/>
              <w:lang w:val="es-ES" w:eastAsia="es-ES"/>
            </w:rPr>
            <w:drawing>
              <wp:inline distT="0" distB="0" distL="0" distR="0">
                <wp:extent cx="1056342" cy="569327"/>
                <wp:effectExtent l="0" t="0" r="0" b="2540"/>
                <wp:docPr id="2" name="Imaxe 2" descr="Logo XXXVI Reunión del grupo de electroquí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XXXVI Reunión del grupo de electroquímica"/>
                        <pic:cNvPicPr>
                          <a:picLocks noChangeAspect="1" noChangeArrowheads="1"/>
                        </pic:cNvPicPr>
                      </pic:nvPicPr>
                      <pic:blipFill>
                        <a:blip r:embed="rId1">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3233" cy="583820"/>
                        </a:xfrm>
                        <a:prstGeom prst="rect">
                          <a:avLst/>
                        </a:prstGeom>
                        <a:noFill/>
                        <a:ln>
                          <a:noFill/>
                        </a:ln>
                      </pic:spPr>
                    </pic:pic>
                  </a:graphicData>
                </a:graphic>
              </wp:inline>
            </w:drawing>
          </w:r>
        </w:p>
      </w:tc>
      <w:tc>
        <w:tcPr>
          <w:tcW w:w="5121" w:type="dxa"/>
          <w:vAlign w:val="center"/>
        </w:tcPr>
        <w:p w:rsidR="00CB2994" w:rsidRPr="00AA4C4D" w:rsidRDefault="00CB2994" w:rsidP="00CB2994">
          <w:pPr>
            <w:pStyle w:val="Encabezado"/>
            <w:tabs>
              <w:tab w:val="clear" w:pos="4252"/>
              <w:tab w:val="left" w:pos="4253"/>
              <w:tab w:val="center" w:pos="4395"/>
            </w:tabs>
            <w:spacing w:line="360" w:lineRule="auto"/>
            <w:rPr>
              <w:rFonts w:ascii="Lucida Calligraphy" w:hAnsi="Lucida Calligraphy"/>
              <w:b/>
              <w:color w:val="808080" w:themeColor="background1" w:themeShade="80"/>
              <w:lang w:val="pt-PT"/>
            </w:rPr>
          </w:pPr>
          <w:r w:rsidRPr="00AA4C4D">
            <w:rPr>
              <w:rFonts w:ascii="Lucida Calligraphy" w:hAnsi="Lucida Calligraphy"/>
              <w:b/>
              <w:color w:val="808080" w:themeColor="background1" w:themeShade="80"/>
              <w:lang w:val="pt-PT"/>
            </w:rPr>
            <w:t xml:space="preserve">XXXVI Reunión </w:t>
          </w:r>
          <w:r w:rsidR="00AA4C4D" w:rsidRPr="00AA4C4D">
            <w:rPr>
              <w:rFonts w:ascii="Lucida Calligraphy" w:hAnsi="Lucida Calligraphy"/>
              <w:b/>
              <w:color w:val="808080" w:themeColor="background1" w:themeShade="80"/>
              <w:lang w:val="pt-PT"/>
            </w:rPr>
            <w:t xml:space="preserve">del </w:t>
          </w:r>
          <w:r w:rsidRPr="00AA4C4D">
            <w:rPr>
              <w:rFonts w:ascii="Lucida Calligraphy" w:hAnsi="Lucida Calligraphy"/>
              <w:b/>
              <w:color w:val="808080" w:themeColor="background1" w:themeShade="80"/>
              <w:lang w:val="pt-PT"/>
            </w:rPr>
            <w:t xml:space="preserve">Grupo </w:t>
          </w:r>
          <w:r w:rsidR="00AA4C4D" w:rsidRPr="00AA4C4D">
            <w:rPr>
              <w:rFonts w:ascii="Lucida Calligraphy" w:hAnsi="Lucida Calligraphy"/>
              <w:b/>
              <w:color w:val="808080" w:themeColor="background1" w:themeShade="80"/>
              <w:lang w:val="pt-PT"/>
            </w:rPr>
            <w:t xml:space="preserve">de </w:t>
          </w:r>
          <w:r w:rsidRPr="00AA4C4D">
            <w:rPr>
              <w:rFonts w:ascii="Lucida Calligraphy" w:hAnsi="Lucida Calligraphy"/>
              <w:b/>
              <w:color w:val="808080" w:themeColor="background1" w:themeShade="80"/>
              <w:lang w:val="pt-PT"/>
            </w:rPr>
            <w:t xml:space="preserve">Electroquímica </w:t>
          </w:r>
        </w:p>
        <w:p w:rsidR="00CB2994" w:rsidRPr="00AA4C4D" w:rsidRDefault="00CB2994" w:rsidP="005B6B45">
          <w:pPr>
            <w:pStyle w:val="Encabezado"/>
            <w:tabs>
              <w:tab w:val="clear" w:pos="4252"/>
              <w:tab w:val="left" w:pos="4253"/>
              <w:tab w:val="center" w:pos="4395"/>
            </w:tabs>
            <w:rPr>
              <w:rFonts w:asciiTheme="majorHAnsi" w:hAnsiTheme="majorHAnsi"/>
              <w:color w:val="808080" w:themeColor="background1" w:themeShade="80"/>
              <w:sz w:val="24"/>
              <w:lang w:val="pt-PT"/>
            </w:rPr>
          </w:pPr>
          <w:r w:rsidRPr="00AA4C4D">
            <w:rPr>
              <w:rFonts w:ascii="Lucida Calligraphy" w:hAnsi="Lucida Calligraphy"/>
              <w:b/>
              <w:color w:val="808080" w:themeColor="background1" w:themeShade="80"/>
              <w:lang w:val="pt-PT"/>
            </w:rPr>
            <w:t>XVII Encontro Ibérico de Electroquímica</w:t>
          </w:r>
        </w:p>
      </w:tc>
      <w:tc>
        <w:tcPr>
          <w:tcW w:w="1407" w:type="dxa"/>
          <w:vAlign w:val="center"/>
        </w:tcPr>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8"/>
              <w:szCs w:val="28"/>
              <w:lang w:val="pt-PT"/>
            </w:rPr>
          </w:pPr>
          <w:r w:rsidRPr="00AA4C4D">
            <w:rPr>
              <w:rFonts w:asciiTheme="majorHAnsi" w:hAnsiTheme="majorHAnsi"/>
              <w:b/>
              <w:color w:val="538135" w:themeColor="accent6" w:themeShade="BF"/>
              <w:sz w:val="28"/>
              <w:szCs w:val="28"/>
              <w:lang w:val="pt-PT"/>
            </w:rPr>
            <w:t>Vigo</w:t>
          </w:r>
        </w:p>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4"/>
              <w:lang w:val="pt-PT"/>
            </w:rPr>
          </w:pPr>
          <w:r w:rsidRPr="00AA4C4D">
            <w:rPr>
              <w:rFonts w:asciiTheme="majorHAnsi" w:hAnsiTheme="majorHAnsi"/>
              <w:b/>
              <w:color w:val="538135" w:themeColor="accent6" w:themeShade="BF"/>
              <w:sz w:val="24"/>
              <w:lang w:val="pt-PT"/>
            </w:rPr>
            <w:t>13-15 / Julio</w:t>
          </w:r>
        </w:p>
        <w:p w:rsidR="00CB2994" w:rsidRDefault="00CB2994" w:rsidP="00CB2994">
          <w:pPr>
            <w:pStyle w:val="Encabezado"/>
            <w:tabs>
              <w:tab w:val="clear" w:pos="4252"/>
              <w:tab w:val="left" w:pos="4253"/>
              <w:tab w:val="center" w:pos="4395"/>
            </w:tabs>
            <w:jc w:val="center"/>
            <w:rPr>
              <w:rFonts w:asciiTheme="majorHAnsi" w:hAnsiTheme="majorHAnsi"/>
              <w:sz w:val="24"/>
              <w:lang w:val="pt-PT"/>
            </w:rPr>
          </w:pPr>
          <w:r w:rsidRPr="00AA4C4D">
            <w:rPr>
              <w:rFonts w:asciiTheme="majorHAnsi" w:hAnsiTheme="majorHAnsi"/>
              <w:b/>
              <w:color w:val="538135" w:themeColor="accent6" w:themeShade="BF"/>
              <w:sz w:val="24"/>
              <w:lang w:val="pt-PT"/>
            </w:rPr>
            <w:t>2015</w:t>
          </w:r>
        </w:p>
      </w:tc>
    </w:tr>
  </w:tbl>
  <w:p w:rsidR="005B6B45" w:rsidRPr="00CB2994" w:rsidRDefault="005B6B45" w:rsidP="002D1518">
    <w:pPr>
      <w:pStyle w:val="Encabezado"/>
      <w:pBdr>
        <w:top w:val="single" w:sz="4" w:space="1" w:color="auto"/>
      </w:pBdr>
      <w:spacing w:line="480" w:lineRule="auto"/>
      <w:rPr>
        <w:rFonts w:asciiTheme="majorHAnsi" w:hAnsiTheme="majorHAnsi"/>
        <w:sz w:val="16"/>
        <w:szCs w:val="16"/>
        <w:lang w:val="pt-P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DC7A4E"/>
    <w:rsid w:val="0000668F"/>
    <w:rsid w:val="00007F6C"/>
    <w:rsid w:val="000112E1"/>
    <w:rsid w:val="000250DD"/>
    <w:rsid w:val="00061BBD"/>
    <w:rsid w:val="00067D3D"/>
    <w:rsid w:val="0007035D"/>
    <w:rsid w:val="000868A3"/>
    <w:rsid w:val="00105354"/>
    <w:rsid w:val="00113BF4"/>
    <w:rsid w:val="001215FD"/>
    <w:rsid w:val="00123F69"/>
    <w:rsid w:val="00142FEE"/>
    <w:rsid w:val="00143626"/>
    <w:rsid w:val="001C211B"/>
    <w:rsid w:val="001D7E88"/>
    <w:rsid w:val="001F518C"/>
    <w:rsid w:val="00203491"/>
    <w:rsid w:val="00244201"/>
    <w:rsid w:val="00247CD2"/>
    <w:rsid w:val="002B7640"/>
    <w:rsid w:val="002D1518"/>
    <w:rsid w:val="002D3067"/>
    <w:rsid w:val="002E2D9B"/>
    <w:rsid w:val="0030299D"/>
    <w:rsid w:val="003376C0"/>
    <w:rsid w:val="00345C98"/>
    <w:rsid w:val="0036445F"/>
    <w:rsid w:val="0037778D"/>
    <w:rsid w:val="003C0A05"/>
    <w:rsid w:val="003E49EB"/>
    <w:rsid w:val="0040333F"/>
    <w:rsid w:val="004046B1"/>
    <w:rsid w:val="00413345"/>
    <w:rsid w:val="00477541"/>
    <w:rsid w:val="004A2DE4"/>
    <w:rsid w:val="004B694B"/>
    <w:rsid w:val="0053091C"/>
    <w:rsid w:val="005455B3"/>
    <w:rsid w:val="00552D4C"/>
    <w:rsid w:val="00567107"/>
    <w:rsid w:val="00583830"/>
    <w:rsid w:val="005B6B45"/>
    <w:rsid w:val="005C239F"/>
    <w:rsid w:val="005C34DC"/>
    <w:rsid w:val="00621FC3"/>
    <w:rsid w:val="0065677F"/>
    <w:rsid w:val="0067228E"/>
    <w:rsid w:val="006815ED"/>
    <w:rsid w:val="0068256B"/>
    <w:rsid w:val="00686736"/>
    <w:rsid w:val="006C7768"/>
    <w:rsid w:val="006E45E4"/>
    <w:rsid w:val="00716A5B"/>
    <w:rsid w:val="0072427B"/>
    <w:rsid w:val="00733CC7"/>
    <w:rsid w:val="007379A4"/>
    <w:rsid w:val="00761A6B"/>
    <w:rsid w:val="00762E10"/>
    <w:rsid w:val="00766762"/>
    <w:rsid w:val="00772B69"/>
    <w:rsid w:val="007C1BA5"/>
    <w:rsid w:val="007D2205"/>
    <w:rsid w:val="007F4BDB"/>
    <w:rsid w:val="00825387"/>
    <w:rsid w:val="00831359"/>
    <w:rsid w:val="008601F5"/>
    <w:rsid w:val="00863D84"/>
    <w:rsid w:val="00881797"/>
    <w:rsid w:val="008E5735"/>
    <w:rsid w:val="009150C0"/>
    <w:rsid w:val="00922B53"/>
    <w:rsid w:val="00944BB1"/>
    <w:rsid w:val="009918CD"/>
    <w:rsid w:val="009934AC"/>
    <w:rsid w:val="009D613A"/>
    <w:rsid w:val="00A16A6C"/>
    <w:rsid w:val="00A32B81"/>
    <w:rsid w:val="00A44598"/>
    <w:rsid w:val="00A56B93"/>
    <w:rsid w:val="00A67F86"/>
    <w:rsid w:val="00A70A20"/>
    <w:rsid w:val="00AA4C4D"/>
    <w:rsid w:val="00AB15DB"/>
    <w:rsid w:val="00AB661D"/>
    <w:rsid w:val="00AC13C8"/>
    <w:rsid w:val="00AC26BC"/>
    <w:rsid w:val="00AE210E"/>
    <w:rsid w:val="00AE2A95"/>
    <w:rsid w:val="00AF0F5B"/>
    <w:rsid w:val="00AF4C67"/>
    <w:rsid w:val="00B17C09"/>
    <w:rsid w:val="00B24262"/>
    <w:rsid w:val="00B35745"/>
    <w:rsid w:val="00B608AE"/>
    <w:rsid w:val="00BA72B5"/>
    <w:rsid w:val="00BD084C"/>
    <w:rsid w:val="00C069BA"/>
    <w:rsid w:val="00C25119"/>
    <w:rsid w:val="00C32CE8"/>
    <w:rsid w:val="00C54A2A"/>
    <w:rsid w:val="00C662FA"/>
    <w:rsid w:val="00C724F3"/>
    <w:rsid w:val="00C92F29"/>
    <w:rsid w:val="00CB2994"/>
    <w:rsid w:val="00CB60A5"/>
    <w:rsid w:val="00CD729C"/>
    <w:rsid w:val="00CE31D8"/>
    <w:rsid w:val="00CE78F5"/>
    <w:rsid w:val="00D16780"/>
    <w:rsid w:val="00D171E7"/>
    <w:rsid w:val="00D46BF8"/>
    <w:rsid w:val="00DC7A4E"/>
    <w:rsid w:val="00DC7C02"/>
    <w:rsid w:val="00DE3F1E"/>
    <w:rsid w:val="00DF0255"/>
    <w:rsid w:val="00E01A28"/>
    <w:rsid w:val="00E13DBB"/>
    <w:rsid w:val="00E24814"/>
    <w:rsid w:val="00E6431D"/>
    <w:rsid w:val="00E6580B"/>
    <w:rsid w:val="00EC099B"/>
    <w:rsid w:val="00EC6702"/>
    <w:rsid w:val="00EF1243"/>
    <w:rsid w:val="00EF4410"/>
    <w:rsid w:val="00F51426"/>
    <w:rsid w:val="00F7375B"/>
    <w:rsid w:val="00F90D3F"/>
    <w:rsid w:val="00F9269D"/>
    <w:rsid w:val="00FB6093"/>
    <w:rsid w:val="00FC7515"/>
    <w:rsid w:val="00FE47DE"/>
    <w:rsid w:val="00FF6A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gl-ES" w:eastAsia="gl-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BBD"/>
    <w:rPr>
      <w:lang w:val="en-US" w:eastAsia="en-US"/>
    </w:rPr>
  </w:style>
  <w:style w:type="paragraph" w:styleId="Ttulo1">
    <w:name w:val="heading 1"/>
    <w:basedOn w:val="Normal"/>
    <w:next w:val="Normal"/>
    <w:qFormat/>
    <w:rsid w:val="00061BBD"/>
    <w:pPr>
      <w:keepNext/>
      <w:jc w:val="both"/>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61BBD"/>
    <w:pPr>
      <w:tabs>
        <w:tab w:val="center" w:pos="4252"/>
        <w:tab w:val="right" w:pos="8504"/>
      </w:tabs>
    </w:pPr>
  </w:style>
  <w:style w:type="paragraph" w:styleId="Piedepgina">
    <w:name w:val="footer"/>
    <w:basedOn w:val="Normal"/>
    <w:rsid w:val="00061BBD"/>
    <w:pPr>
      <w:tabs>
        <w:tab w:val="center" w:pos="4252"/>
        <w:tab w:val="right" w:pos="8504"/>
      </w:tabs>
    </w:pPr>
  </w:style>
  <w:style w:type="paragraph" w:styleId="Ttulo">
    <w:name w:val="Title"/>
    <w:basedOn w:val="Normal"/>
    <w:qFormat/>
    <w:rsid w:val="00061BBD"/>
    <w:pPr>
      <w:jc w:val="center"/>
    </w:pPr>
    <w:rPr>
      <w:b/>
      <w:bCs/>
      <w:sz w:val="28"/>
    </w:rPr>
  </w:style>
  <w:style w:type="character" w:styleId="Hipervnculo">
    <w:name w:val="Hyperlink"/>
    <w:basedOn w:val="Fuentedeprrafopredeter"/>
    <w:rsid w:val="00762E10"/>
    <w:rPr>
      <w:color w:val="0563C1" w:themeColor="hyperlink"/>
      <w:u w:val="single"/>
    </w:rPr>
  </w:style>
  <w:style w:type="table" w:styleId="Tablaconcuadrcula">
    <w:name w:val="Table Grid"/>
    <w:basedOn w:val="Tablanormal"/>
    <w:rsid w:val="00CB2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E13DBB"/>
    <w:rPr>
      <w:rFonts w:ascii="Tahoma" w:hAnsi="Tahoma" w:cs="Tahoma"/>
      <w:sz w:val="16"/>
      <w:szCs w:val="16"/>
    </w:rPr>
  </w:style>
  <w:style w:type="character" w:customStyle="1" w:styleId="TextodegloboCar">
    <w:name w:val="Texto de globo Car"/>
    <w:basedOn w:val="Fuentedeprrafopredeter"/>
    <w:link w:val="Textodeglobo"/>
    <w:rsid w:val="00E13DBB"/>
    <w:rPr>
      <w:rFonts w:ascii="Tahoma" w:hAnsi="Tahoma" w:cs="Tahoma"/>
      <w:sz w:val="16"/>
      <w:szCs w:val="16"/>
      <w:lang w:val="en-US" w:eastAsia="en-US"/>
    </w:rPr>
  </w:style>
  <w:style w:type="paragraph" w:styleId="NormalWeb">
    <w:name w:val="Normal (Web)"/>
    <w:basedOn w:val="Normal"/>
    <w:uiPriority w:val="99"/>
    <w:unhideWhenUsed/>
    <w:rsid w:val="00105354"/>
    <w:pPr>
      <w:spacing w:before="100" w:beforeAutospacing="1" w:after="100" w:afterAutospacing="1"/>
    </w:pPr>
    <w:rPr>
      <w:rFonts w:eastAsiaTheme="minorEastAsia"/>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388497467">
      <w:bodyDiv w:val="1"/>
      <w:marLeft w:val="0"/>
      <w:marRight w:val="0"/>
      <w:marTop w:val="0"/>
      <w:marBottom w:val="0"/>
      <w:divBdr>
        <w:top w:val="none" w:sz="0" w:space="0" w:color="auto"/>
        <w:left w:val="none" w:sz="0" w:space="0" w:color="auto"/>
        <w:bottom w:val="none" w:sz="0" w:space="0" w:color="auto"/>
        <w:right w:val="none" w:sz="0" w:space="0" w:color="auto"/>
      </w:divBdr>
    </w:div>
    <w:div w:id="610547469">
      <w:bodyDiv w:val="1"/>
      <w:marLeft w:val="0"/>
      <w:marRight w:val="0"/>
      <w:marTop w:val="0"/>
      <w:marBottom w:val="0"/>
      <w:divBdr>
        <w:top w:val="none" w:sz="0" w:space="0" w:color="auto"/>
        <w:left w:val="none" w:sz="0" w:space="0" w:color="auto"/>
        <w:bottom w:val="none" w:sz="0" w:space="0" w:color="auto"/>
        <w:right w:val="none" w:sz="0" w:space="0" w:color="auto"/>
      </w:divBdr>
    </w:div>
    <w:div w:id="69241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rreo.electr&#243;nico@auto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F0C54C-B7C3-4157-9B53-58E14AA02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941</Words>
  <Characters>5177</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Title</vt:lpstr>
    </vt:vector>
  </TitlesOfParts>
  <Company>HP</Company>
  <LinksUpToDate>false</LinksUpToDate>
  <CharactersWithSpaces>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Nóvoa</dc:creator>
  <cp:lastModifiedBy>hp</cp:lastModifiedBy>
  <cp:revision>2</cp:revision>
  <dcterms:created xsi:type="dcterms:W3CDTF">2015-05-26T08:47:00Z</dcterms:created>
  <dcterms:modified xsi:type="dcterms:W3CDTF">2015-05-26T08:47:00Z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jenaro_jaime@hotmail.com@www.mendeley.com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