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99B" w:rsidRPr="007666FF" w:rsidRDefault="00834CB8" w:rsidP="00DC2D5C">
      <w:pPr>
        <w:pStyle w:val="Puesto"/>
        <w:spacing w:before="120"/>
        <w:rPr>
          <w:rFonts w:asciiTheme="minorHAnsi" w:hAnsiTheme="minorHAnsi"/>
          <w:sz w:val="24"/>
          <w:lang w:val="en-GB"/>
        </w:rPr>
      </w:pPr>
      <w:r w:rsidRPr="007666FF">
        <w:rPr>
          <w:rFonts w:asciiTheme="minorHAnsi" w:hAnsiTheme="minorHAnsi"/>
          <w:lang w:val="en-GB"/>
        </w:rPr>
        <w:t>Spectroelectrogravimetric study of the interfaci</w:t>
      </w:r>
      <w:r w:rsidR="00DC2D5C">
        <w:rPr>
          <w:rFonts w:asciiTheme="minorHAnsi" w:hAnsiTheme="minorHAnsi"/>
          <w:lang w:val="en-GB"/>
        </w:rPr>
        <w:t>al region of copper electrodes</w:t>
      </w:r>
    </w:p>
    <w:p w:rsidR="00580FCC" w:rsidRPr="00E76950" w:rsidRDefault="00580FCC" w:rsidP="00580FCC">
      <w:pPr>
        <w:jc w:val="center"/>
        <w:rPr>
          <w:rFonts w:asciiTheme="minorHAnsi" w:hAnsiTheme="minorHAnsi"/>
          <w:sz w:val="24"/>
          <w:lang w:val="es-ES"/>
        </w:rPr>
      </w:pPr>
      <w:r w:rsidRPr="00E76950">
        <w:rPr>
          <w:rFonts w:asciiTheme="minorHAnsi" w:hAnsiTheme="minorHAnsi"/>
          <w:sz w:val="24"/>
          <w:lang w:val="es-ES"/>
        </w:rPr>
        <w:t>Alejandro Cuenca</w:t>
      </w:r>
      <w:r w:rsidR="0024407A" w:rsidRPr="00E76950">
        <w:rPr>
          <w:rFonts w:asciiTheme="minorHAnsi" w:hAnsiTheme="minorHAnsi"/>
          <w:sz w:val="24"/>
          <w:lang w:val="es-ES"/>
        </w:rPr>
        <w:t xml:space="preserve"> Garrigues</w:t>
      </w:r>
    </w:p>
    <w:p w:rsidR="00EC099B" w:rsidRPr="00E76950" w:rsidRDefault="00580FCC">
      <w:pPr>
        <w:jc w:val="center"/>
        <w:rPr>
          <w:rFonts w:asciiTheme="minorHAnsi" w:hAnsiTheme="minorHAnsi"/>
          <w:i/>
          <w:iCs/>
          <w:sz w:val="24"/>
          <w:lang w:val="es-ES"/>
        </w:rPr>
      </w:pPr>
      <w:r w:rsidRPr="00E76950">
        <w:rPr>
          <w:rFonts w:asciiTheme="minorHAnsi" w:hAnsiTheme="minorHAnsi"/>
          <w:i/>
          <w:iCs/>
          <w:sz w:val="24"/>
          <w:lang w:val="es-ES"/>
        </w:rPr>
        <w:t>Universitat de Valencia</w:t>
      </w:r>
    </w:p>
    <w:p w:rsidR="00EC099B" w:rsidRPr="00D65F10" w:rsidRDefault="00C5377F">
      <w:pPr>
        <w:jc w:val="center"/>
        <w:rPr>
          <w:rFonts w:asciiTheme="minorHAnsi" w:hAnsiTheme="minorHAnsi"/>
          <w:i/>
          <w:iCs/>
          <w:color w:val="0070C0"/>
          <w:sz w:val="24"/>
          <w:u w:val="single"/>
          <w:lang w:val="en-GB"/>
        </w:rPr>
      </w:pPr>
      <w:hyperlink r:id="rId7" w:history="1">
        <w:r w:rsidR="00580FCC" w:rsidRPr="00D65F10">
          <w:rPr>
            <w:rStyle w:val="Hipervnculo"/>
            <w:rFonts w:asciiTheme="minorHAnsi" w:hAnsiTheme="minorHAnsi"/>
            <w:i/>
            <w:iCs/>
            <w:color w:val="0070C0"/>
            <w:sz w:val="24"/>
            <w:lang w:val="en-GB"/>
          </w:rPr>
          <w:t>acuenga@</w:t>
        </w:r>
      </w:hyperlink>
      <w:r w:rsidR="00580FCC" w:rsidRPr="00D65F10">
        <w:rPr>
          <w:rFonts w:asciiTheme="minorHAnsi" w:hAnsiTheme="minorHAnsi"/>
          <w:i/>
          <w:iCs/>
          <w:color w:val="0070C0"/>
          <w:sz w:val="24"/>
          <w:u w:val="single"/>
          <w:lang w:val="en-GB"/>
        </w:rPr>
        <w:t>alumni.</w:t>
      </w:r>
      <w:r w:rsidR="00580FCC" w:rsidRPr="00D65F10">
        <w:rPr>
          <w:rStyle w:val="Hipervnculo"/>
          <w:rFonts w:asciiTheme="minorHAnsi" w:hAnsiTheme="minorHAnsi"/>
          <w:i/>
          <w:iCs/>
          <w:color w:val="0070C0"/>
          <w:sz w:val="24"/>
          <w:lang w:val="en-GB"/>
        </w:rPr>
        <w:t>uv.es</w:t>
      </w:r>
      <w:r w:rsidR="00762E10" w:rsidRPr="00D65F10">
        <w:rPr>
          <w:rFonts w:asciiTheme="minorHAnsi" w:hAnsiTheme="minorHAnsi"/>
          <w:i/>
          <w:iCs/>
          <w:color w:val="0070C0"/>
          <w:sz w:val="24"/>
          <w:u w:val="single"/>
          <w:lang w:val="en-GB"/>
        </w:rPr>
        <w:t xml:space="preserve"> </w:t>
      </w:r>
    </w:p>
    <w:p w:rsidR="005B6B45" w:rsidRPr="0024407A" w:rsidRDefault="005B6B45" w:rsidP="005B6B45">
      <w:pPr>
        <w:jc w:val="both"/>
        <w:rPr>
          <w:rFonts w:asciiTheme="minorHAnsi" w:hAnsiTheme="minorHAnsi"/>
          <w:sz w:val="24"/>
          <w:lang w:val="en-GB"/>
        </w:rPr>
      </w:pPr>
      <w:bookmarkStart w:id="0" w:name="_GoBack"/>
      <w:bookmarkEnd w:id="0"/>
    </w:p>
    <w:p w:rsidR="00143626" w:rsidRPr="0024407A" w:rsidRDefault="00567107" w:rsidP="007379A4">
      <w:pPr>
        <w:jc w:val="both"/>
        <w:rPr>
          <w:rFonts w:asciiTheme="minorHAnsi" w:hAnsiTheme="minorHAnsi"/>
          <w:sz w:val="24"/>
          <w:lang w:val="en-GB"/>
        </w:rPr>
      </w:pPr>
      <w:r w:rsidRPr="0024407A">
        <w:rPr>
          <w:rFonts w:asciiTheme="minorHAnsi" w:hAnsiTheme="minorHAnsi"/>
          <w:b/>
          <w:sz w:val="24"/>
          <w:lang w:val="en-GB"/>
        </w:rPr>
        <w:t>ABSTRACT</w:t>
      </w:r>
    </w:p>
    <w:p w:rsidR="00143626" w:rsidRPr="0024407A" w:rsidRDefault="00565C96" w:rsidP="007379A4">
      <w:pPr>
        <w:jc w:val="both"/>
        <w:rPr>
          <w:rFonts w:asciiTheme="minorHAnsi" w:hAnsiTheme="minorHAnsi"/>
          <w:sz w:val="24"/>
          <w:lang w:val="en-GB"/>
        </w:rPr>
      </w:pPr>
      <w:r>
        <w:rPr>
          <w:rFonts w:asciiTheme="minorHAnsi" w:hAnsiTheme="minorHAnsi"/>
          <w:noProof/>
          <w:sz w:val="24"/>
          <w:lang w:val="en-GB" w:eastAsia="en-GB"/>
        </w:rPr>
        <w:drawing>
          <wp:anchor distT="0" distB="0" distL="114300" distR="114300" simplePos="0" relativeHeight="251663872" behindDoc="0" locked="0" layoutInCell="1" allowOverlap="1" wp14:anchorId="72A6EC9C" wp14:editId="08D00FD7">
            <wp:simplePos x="0" y="0"/>
            <wp:positionH relativeFrom="column">
              <wp:posOffset>2924175</wp:posOffset>
            </wp:positionH>
            <wp:positionV relativeFrom="paragraph">
              <wp:posOffset>221795</wp:posOffset>
            </wp:positionV>
            <wp:extent cx="2265045" cy="2256790"/>
            <wp:effectExtent l="0" t="0" r="0" b="0"/>
            <wp:wrapSquare wrapText="bothSides"/>
            <wp:docPr id="3" name="Imagen 3" descr="C:\Users\RAQUEL\Desktop\paper EIS\Figuras\Resum.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QUEL\Desktop\paper EIS\Figuras\Resum.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65045" cy="22567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A28EA" w:rsidRPr="0024407A" w:rsidRDefault="00EA28EA" w:rsidP="003B21EA">
      <w:pPr>
        <w:spacing w:after="120"/>
        <w:jc w:val="both"/>
        <w:rPr>
          <w:rFonts w:asciiTheme="minorHAnsi" w:hAnsiTheme="minorHAnsi"/>
          <w:sz w:val="24"/>
          <w:lang w:val="en-GB"/>
        </w:rPr>
        <w:sectPr w:rsidR="00EA28EA" w:rsidRPr="0024407A" w:rsidSect="00B5784D">
          <w:headerReference w:type="default" r:id="rId9"/>
          <w:footerReference w:type="default" r:id="rId10"/>
          <w:pgSz w:w="11907" w:h="16840" w:code="9"/>
          <w:pgMar w:top="1701" w:right="1701" w:bottom="1701" w:left="1701" w:header="720" w:footer="720" w:gutter="0"/>
          <w:cols w:space="720"/>
        </w:sectPr>
      </w:pPr>
    </w:p>
    <w:p w:rsidR="00143626" w:rsidRPr="00EA28EA" w:rsidRDefault="00AE2F26" w:rsidP="008A56A4">
      <w:pPr>
        <w:spacing w:after="120"/>
        <w:jc w:val="both"/>
        <w:rPr>
          <w:rFonts w:asciiTheme="minorHAnsi" w:hAnsiTheme="minorHAnsi"/>
          <w:sz w:val="24"/>
          <w:lang w:val="en-GB"/>
        </w:rPr>
      </w:pPr>
      <w:r w:rsidRPr="00EA28EA">
        <w:rPr>
          <w:rFonts w:asciiTheme="minorHAnsi" w:hAnsiTheme="minorHAnsi"/>
          <w:sz w:val="24"/>
          <w:lang w:val="en-GB"/>
        </w:rPr>
        <w:lastRenderedPageBreak/>
        <w:t xml:space="preserve">Galvanostatic copper deposit and its dissolution in diluted acid media have been studied by means of the </w:t>
      </w:r>
      <w:r w:rsidR="00D65F10">
        <w:rPr>
          <w:rFonts w:asciiTheme="minorHAnsi" w:hAnsiTheme="minorHAnsi"/>
          <w:sz w:val="24"/>
          <w:lang w:val="en-GB"/>
        </w:rPr>
        <w:t xml:space="preserve">electrochemical </w:t>
      </w:r>
      <w:r w:rsidRPr="00EA28EA">
        <w:rPr>
          <w:rFonts w:asciiTheme="minorHAnsi" w:hAnsiTheme="minorHAnsi"/>
          <w:sz w:val="24"/>
          <w:lang w:val="en-GB"/>
        </w:rPr>
        <w:t>quartz crystal microbalance, EQCM-R.</w:t>
      </w:r>
      <w:r w:rsidR="00304F68" w:rsidRPr="00EA28EA">
        <w:rPr>
          <w:rFonts w:asciiTheme="minorHAnsi" w:hAnsiTheme="minorHAnsi"/>
          <w:sz w:val="24"/>
          <w:lang w:val="en-GB"/>
        </w:rPr>
        <w:t xml:space="preserve"> Spectroscopic techniques have been coupled</w:t>
      </w:r>
      <w:r w:rsidR="007666FF" w:rsidRPr="00EA28EA">
        <w:rPr>
          <w:rFonts w:asciiTheme="minorHAnsi" w:hAnsiTheme="minorHAnsi"/>
          <w:sz w:val="24"/>
          <w:lang w:val="en-GB"/>
        </w:rPr>
        <w:t xml:space="preserve"> </w:t>
      </w:r>
      <w:r w:rsidR="007666FF" w:rsidRPr="008A7E5C">
        <w:rPr>
          <w:rFonts w:asciiTheme="minorHAnsi" w:hAnsiTheme="minorHAnsi"/>
          <w:i/>
          <w:sz w:val="24"/>
          <w:lang w:val="en-GB"/>
        </w:rPr>
        <w:t>in situ</w:t>
      </w:r>
      <w:r w:rsidR="00304F68" w:rsidRPr="00EA28EA">
        <w:rPr>
          <w:rFonts w:asciiTheme="minorHAnsi" w:hAnsiTheme="minorHAnsi"/>
          <w:sz w:val="24"/>
          <w:lang w:val="en-GB"/>
        </w:rPr>
        <w:t xml:space="preserve"> in order to obtain </w:t>
      </w:r>
      <w:r w:rsidR="007B29A5" w:rsidRPr="00EA28EA">
        <w:rPr>
          <w:rFonts w:asciiTheme="minorHAnsi" w:hAnsiTheme="minorHAnsi"/>
          <w:sz w:val="24"/>
          <w:lang w:val="en-GB"/>
        </w:rPr>
        <w:t xml:space="preserve">simultaneously </w:t>
      </w:r>
      <w:r w:rsidR="00304F68" w:rsidRPr="00EA28EA">
        <w:rPr>
          <w:rFonts w:asciiTheme="minorHAnsi" w:hAnsiTheme="minorHAnsi"/>
          <w:sz w:val="24"/>
          <w:lang w:val="en-GB"/>
        </w:rPr>
        <w:t>information</w:t>
      </w:r>
      <w:r w:rsidR="007666FF" w:rsidRPr="00EA28EA">
        <w:rPr>
          <w:rFonts w:asciiTheme="minorHAnsi" w:hAnsiTheme="minorHAnsi"/>
          <w:sz w:val="24"/>
          <w:lang w:val="en-GB"/>
        </w:rPr>
        <w:t xml:space="preserve"> of the</w:t>
      </w:r>
      <w:r w:rsidR="008A56A4" w:rsidRPr="00EA28EA">
        <w:rPr>
          <w:rFonts w:asciiTheme="minorHAnsi" w:hAnsiTheme="minorHAnsi"/>
          <w:sz w:val="24"/>
          <w:lang w:val="en-GB"/>
        </w:rPr>
        <w:t xml:space="preserve"> interfacial regio</w:t>
      </w:r>
      <w:r w:rsidR="007666FF" w:rsidRPr="00EA28EA">
        <w:rPr>
          <w:rFonts w:asciiTheme="minorHAnsi" w:hAnsiTheme="minorHAnsi"/>
          <w:sz w:val="24"/>
          <w:lang w:val="en-GB"/>
        </w:rPr>
        <w:t>n by means of transference functions in DC current like the F(dm/dQ) function and d(Abs)/dt</w:t>
      </w:r>
      <w:r w:rsidR="00202875">
        <w:rPr>
          <w:rFonts w:asciiTheme="minorHAnsi" w:hAnsiTheme="minorHAnsi"/>
          <w:sz w:val="24"/>
          <w:lang w:val="en-GB"/>
        </w:rPr>
        <w:fldChar w:fldCharType="begin"/>
      </w:r>
      <w:r w:rsidR="00E76950">
        <w:rPr>
          <w:rFonts w:asciiTheme="minorHAnsi" w:hAnsiTheme="minorHAnsi"/>
          <w:sz w:val="24"/>
          <w:lang w:val="en-GB"/>
        </w:rPr>
        <w:instrText xml:space="preserve"> ADDIN ZOTERO_ITEM CSL_CITATION {"citationID":"cglMcxbF","properties":{"formattedCitation":"[1]","plainCitation":"[1]"},"citationItems":[{"id":145,"uris":["http://zotero.org/users/local/FOMTVX18/items/ECIA37MZ"],"uri":["http://zotero.org/users/local/FOMTVX18/items/ECIA37MZ"],"itemData":{"id":145,"type":"article-journal","title":"Determination of time dependence of passive layer on nickel from instantaneous mass/charge function F(dm/dQ) in competitive passivation/dissolution conditions","container-title":"Electrochemistry Communications","page":"683-687","volume":"8","issue":"5","source":"ScienceDirect","abstract":"Nickel metal deposited on gold electrodes was studied in the passivity range of potentials under potentiostatic conditions and in a weakly acid sulphate medium. Mass and current variations during electrochemical experiments were analysed with the help of the instantaneous mass/charge ratio (Fdm/dQ). This analysis allows to obtain the intensity current component associated to the formation of a passive layer of Ni(OH)2, and, in this way, the experimental thickness growth. These experimental findings have been fitted to a theoretical model based on the point defect model theory for obtaining the time dependence of the thickness of the passive layer during the first stages of growth of the passive layer.","DOI":"10.1016/j.elecom.2006.03.006","ISSN":"1388-2481","journalAbbreviation":"Electrochemistry Communications","author":[{"family":"Gregori","given":"J."},{"family":"García-Jareño","given":"J. J."},{"family":"Vicente","given":"F."}],"issued":{"date-parts":[["2006",5]]},"accessed":{"date-parts":[["2015",3,9]]}}}],"schema":"https://github.com/citation-style-language/schema/raw/master/csl-citation.json"} </w:instrText>
      </w:r>
      <w:r w:rsidR="00202875">
        <w:rPr>
          <w:rFonts w:asciiTheme="minorHAnsi" w:hAnsiTheme="minorHAnsi"/>
          <w:sz w:val="24"/>
          <w:lang w:val="en-GB"/>
        </w:rPr>
        <w:fldChar w:fldCharType="separate"/>
      </w:r>
      <w:r w:rsidR="00E76950" w:rsidRPr="00E76950">
        <w:rPr>
          <w:rFonts w:ascii="Calibri" w:hAnsi="Calibri"/>
          <w:sz w:val="24"/>
        </w:rPr>
        <w:t>[1]</w:t>
      </w:r>
      <w:r w:rsidR="00202875">
        <w:rPr>
          <w:rFonts w:asciiTheme="minorHAnsi" w:hAnsiTheme="minorHAnsi"/>
          <w:sz w:val="24"/>
          <w:lang w:val="en-GB"/>
        </w:rPr>
        <w:fldChar w:fldCharType="end"/>
      </w:r>
      <w:r w:rsidR="007666FF" w:rsidRPr="00EA28EA">
        <w:rPr>
          <w:rFonts w:asciiTheme="minorHAnsi" w:hAnsiTheme="minorHAnsi"/>
          <w:sz w:val="24"/>
          <w:lang w:val="en-GB"/>
        </w:rPr>
        <w:t xml:space="preserve"> and, in AC current perturbation</w:t>
      </w:r>
      <w:r w:rsidR="00202875">
        <w:rPr>
          <w:rFonts w:asciiTheme="minorHAnsi" w:hAnsiTheme="minorHAnsi"/>
          <w:sz w:val="24"/>
          <w:lang w:val="en-GB"/>
        </w:rPr>
        <w:fldChar w:fldCharType="begin"/>
      </w:r>
      <w:r w:rsidR="00202875">
        <w:rPr>
          <w:rFonts w:asciiTheme="minorHAnsi" w:hAnsiTheme="minorHAnsi"/>
          <w:sz w:val="24"/>
          <w:lang w:val="en-GB"/>
        </w:rPr>
        <w:instrText xml:space="preserve"> ADDIN ZOTERO_ITEM CSL_CITATION {"citationID":"iTqqROna","properties":{"formattedCitation":"[2]","plainCitation":"[2]"},"citationItems":[{"id":384,"uris":["http://zotero.org/users/local/FOMTVX18/items/MEDW9SQF"],"uri":["http://zotero.org/users/local/FOMTVX18/items/MEDW9SQF"],"itemData":{"id":384,"type":"article-journal","title":"Innovative combination of three alternating current relaxation techniques: electrical charge, mass, and color impedance spectroscopy. part i: The tool","container-title":"Journal of Physical Chemistry C","page":"8430-8437","volume":"113","issue":"19","source":"Scopus","archive":"Scopus","abstract":"Technical details concerning the simultaneous acquisition of three impedance functions (electrochemical impedance spectroscopy, alternating current electrogravimetry or mass impedance, and alternating current colorimetry or color impedance) are presented. The analysis of each type of impedance function gives interesting information about the species participating during the electrochemical processes. Furthermore, obtaining three impedance functions in situ allows the crossed impedance functions to be calculated. These functions are especially useful in detecting delays between the color, mass, and electrical charge response of the system to the same perturbation, and it allows species participating to be identified by means of calculating their molar masses and molar absorptivities. Thus, recording these three impedance functions together represents a powerful tool for us to obtain valuable information on the physical models of polymer films and their electrochemical processes. Herein, a theoretical model for the understanding of the obtained response is proposed and several cases are analyzed. This model is based on a general model that uses the insertion and expulsion of different ionic species and electrons to balance the electrical charge during electrochemical processes. © 2009 American Chemical Society.","DOI":"10.1021/jp900823z","ISSN":"1932-7447","shortTitle":"Innovative combination of three alternating current relaxation techniques","language":"English","author":[{"family":"Agrisuelas","given":"J."},{"family":"García-Jareño","given":"J.J."},{"family":"Gimenez-Romero","given":"D."},{"family":"Vicente","given":"F."}],"issued":{"date-parts":[["2009"]]}}}],"schema":"https://github.com/citation-style-language/schema/raw/master/csl-citation.json"} </w:instrText>
      </w:r>
      <w:r w:rsidR="00202875">
        <w:rPr>
          <w:rFonts w:asciiTheme="minorHAnsi" w:hAnsiTheme="minorHAnsi"/>
          <w:sz w:val="24"/>
          <w:lang w:val="en-GB"/>
        </w:rPr>
        <w:fldChar w:fldCharType="separate"/>
      </w:r>
      <w:r w:rsidR="00202875" w:rsidRPr="00202875">
        <w:rPr>
          <w:rFonts w:ascii="Calibri" w:hAnsi="Calibri"/>
          <w:sz w:val="24"/>
        </w:rPr>
        <w:t>[2]</w:t>
      </w:r>
      <w:r w:rsidR="00202875">
        <w:rPr>
          <w:rFonts w:asciiTheme="minorHAnsi" w:hAnsiTheme="minorHAnsi"/>
          <w:sz w:val="24"/>
          <w:lang w:val="en-GB"/>
        </w:rPr>
        <w:fldChar w:fldCharType="end"/>
      </w:r>
      <w:r w:rsidR="007666FF" w:rsidRPr="00EA28EA">
        <w:rPr>
          <w:rFonts w:asciiTheme="minorHAnsi" w:hAnsiTheme="minorHAnsi"/>
          <w:sz w:val="24"/>
          <w:lang w:val="en-GB"/>
        </w:rPr>
        <w:t xml:space="preserve"> like the mass impedance functions and the spectroscopic impedance, as well as the electrochemi</w:t>
      </w:r>
      <w:r w:rsidR="00565C96">
        <w:rPr>
          <w:rFonts w:asciiTheme="minorHAnsi" w:hAnsiTheme="minorHAnsi"/>
          <w:sz w:val="24"/>
          <w:lang w:val="en-GB"/>
        </w:rPr>
        <w:t>cal</w:t>
      </w:r>
      <w:r w:rsidR="007666FF" w:rsidRPr="00EA28EA">
        <w:rPr>
          <w:rFonts w:asciiTheme="minorHAnsi" w:hAnsiTheme="minorHAnsi"/>
          <w:sz w:val="24"/>
          <w:lang w:val="en-GB"/>
        </w:rPr>
        <w:t xml:space="preserve"> impedance.</w:t>
      </w:r>
      <w:r w:rsidR="00DC2D5C">
        <w:rPr>
          <w:rFonts w:asciiTheme="minorHAnsi" w:hAnsiTheme="minorHAnsi"/>
          <w:sz w:val="24"/>
          <w:lang w:val="en-GB"/>
        </w:rPr>
        <w:t xml:space="preserve"> </w:t>
      </w:r>
    </w:p>
    <w:p w:rsidR="00DC2D5C" w:rsidRDefault="00DC2D5C" w:rsidP="00FB6093">
      <w:pPr>
        <w:spacing w:after="120"/>
        <w:ind w:left="142"/>
        <w:jc w:val="both"/>
        <w:rPr>
          <w:rFonts w:asciiTheme="minorHAnsi" w:hAnsiTheme="minorHAnsi"/>
          <w:sz w:val="18"/>
          <w:szCs w:val="18"/>
          <w:lang w:val="en-GB"/>
        </w:rPr>
      </w:pPr>
    </w:p>
    <w:p w:rsidR="00EA28EA" w:rsidRDefault="00EA28EA" w:rsidP="00FB6093">
      <w:pPr>
        <w:spacing w:after="120"/>
        <w:ind w:left="142"/>
        <w:jc w:val="both"/>
        <w:rPr>
          <w:rFonts w:asciiTheme="minorHAnsi" w:hAnsiTheme="minorHAnsi"/>
          <w:sz w:val="18"/>
          <w:szCs w:val="18"/>
          <w:lang w:val="en-GB"/>
        </w:rPr>
      </w:pPr>
      <w:r>
        <w:rPr>
          <w:rFonts w:asciiTheme="minorHAnsi" w:hAnsiTheme="minorHAnsi"/>
          <w:sz w:val="18"/>
          <w:szCs w:val="18"/>
          <w:lang w:val="en-GB"/>
        </w:rPr>
        <w:t>Fig.1:</w:t>
      </w:r>
      <w:r w:rsidR="007F018A">
        <w:rPr>
          <w:rFonts w:asciiTheme="minorHAnsi" w:hAnsiTheme="minorHAnsi"/>
          <w:sz w:val="18"/>
          <w:szCs w:val="18"/>
          <w:lang w:val="en-GB"/>
        </w:rPr>
        <w:t xml:space="preserve"> </w:t>
      </w:r>
      <w:r w:rsidR="00202875">
        <w:rPr>
          <w:rFonts w:asciiTheme="minorHAnsi" w:hAnsiTheme="minorHAnsi"/>
          <w:sz w:val="18"/>
          <w:szCs w:val="18"/>
          <w:lang w:val="en-GB"/>
        </w:rPr>
        <w:t>Nyquist plot obtained at 250s during the open circuit potential dissolution of copper in sulphuric acid media 0.1M, pH=0.94, T=298±0.2K</w:t>
      </w:r>
    </w:p>
    <w:p w:rsidR="00EA28EA" w:rsidRPr="00EA28EA" w:rsidRDefault="00EA28EA" w:rsidP="00FB6093">
      <w:pPr>
        <w:spacing w:after="120"/>
        <w:ind w:left="142"/>
        <w:jc w:val="both"/>
        <w:rPr>
          <w:rFonts w:asciiTheme="minorHAnsi" w:hAnsiTheme="minorHAnsi"/>
          <w:sz w:val="18"/>
          <w:szCs w:val="18"/>
          <w:lang w:val="en-GB"/>
        </w:rPr>
        <w:sectPr w:rsidR="00EA28EA" w:rsidRPr="00EA28EA" w:rsidSect="00EA28EA">
          <w:type w:val="continuous"/>
          <w:pgSz w:w="11907" w:h="16840" w:code="9"/>
          <w:pgMar w:top="1701" w:right="1701" w:bottom="1701" w:left="1701" w:header="720" w:footer="720" w:gutter="0"/>
          <w:cols w:num="2" w:space="720"/>
        </w:sectPr>
      </w:pPr>
    </w:p>
    <w:p w:rsidR="00BA62A0" w:rsidRDefault="00BA62A0" w:rsidP="00DC2D5C">
      <w:pPr>
        <w:spacing w:after="120"/>
        <w:jc w:val="both"/>
        <w:rPr>
          <w:rFonts w:asciiTheme="minorHAnsi" w:hAnsiTheme="minorHAnsi"/>
          <w:sz w:val="24"/>
          <w:lang w:val="en-GB"/>
        </w:rPr>
      </w:pPr>
    </w:p>
    <w:p w:rsidR="007D2205" w:rsidRPr="00E76950" w:rsidRDefault="00567107" w:rsidP="00DC2D5C">
      <w:pPr>
        <w:spacing w:after="120"/>
        <w:jc w:val="both"/>
        <w:rPr>
          <w:rFonts w:asciiTheme="minorHAnsi" w:hAnsiTheme="minorHAnsi"/>
          <w:i/>
          <w:lang w:val="es-ES"/>
        </w:rPr>
      </w:pPr>
      <w:r w:rsidRPr="00E76950">
        <w:rPr>
          <w:rFonts w:asciiTheme="minorHAnsi" w:hAnsiTheme="minorHAnsi"/>
          <w:i/>
          <w:lang w:val="es-ES"/>
        </w:rPr>
        <w:t>ADVISERS</w:t>
      </w:r>
    </w:p>
    <w:p w:rsidR="00C54A2A" w:rsidRPr="007F018A" w:rsidRDefault="0024407A" w:rsidP="00FB6093">
      <w:pPr>
        <w:spacing w:after="120"/>
        <w:ind w:left="142"/>
        <w:jc w:val="both"/>
        <w:rPr>
          <w:rFonts w:asciiTheme="minorHAnsi" w:hAnsiTheme="minorHAnsi"/>
          <w:sz w:val="24"/>
          <w:lang w:val="en-GB"/>
        </w:rPr>
      </w:pPr>
      <w:r w:rsidRPr="0024407A">
        <w:rPr>
          <w:rFonts w:asciiTheme="minorHAnsi" w:hAnsiTheme="minorHAnsi"/>
          <w:sz w:val="24"/>
          <w:lang w:val="es-ES"/>
        </w:rPr>
        <w:t>J</w:t>
      </w:r>
      <w:r w:rsidR="00D65F10">
        <w:rPr>
          <w:rFonts w:asciiTheme="minorHAnsi" w:hAnsiTheme="minorHAnsi"/>
          <w:sz w:val="24"/>
          <w:lang w:val="es-ES"/>
        </w:rPr>
        <w:t xml:space="preserve">ose </w:t>
      </w:r>
      <w:r w:rsidRPr="0024407A">
        <w:rPr>
          <w:rFonts w:asciiTheme="minorHAnsi" w:hAnsiTheme="minorHAnsi"/>
          <w:sz w:val="24"/>
          <w:lang w:val="es-ES"/>
        </w:rPr>
        <w:t>J</w:t>
      </w:r>
      <w:r w:rsidR="00D65F10">
        <w:rPr>
          <w:rFonts w:asciiTheme="minorHAnsi" w:hAnsiTheme="minorHAnsi"/>
          <w:sz w:val="24"/>
          <w:lang w:val="es-ES"/>
        </w:rPr>
        <w:t>uan</w:t>
      </w:r>
      <w:r w:rsidRPr="0024407A">
        <w:rPr>
          <w:rFonts w:asciiTheme="minorHAnsi" w:hAnsiTheme="minorHAnsi"/>
          <w:sz w:val="24"/>
          <w:lang w:val="es-ES"/>
        </w:rPr>
        <w:t xml:space="preserve"> Garcia </w:t>
      </w:r>
      <w:r w:rsidR="00EA28EA" w:rsidRPr="0024407A">
        <w:rPr>
          <w:rFonts w:asciiTheme="minorHAnsi" w:hAnsiTheme="minorHAnsi"/>
          <w:sz w:val="24"/>
          <w:lang w:val="es-ES"/>
        </w:rPr>
        <w:t>Jareño</w:t>
      </w:r>
      <w:r>
        <w:rPr>
          <w:rFonts w:asciiTheme="minorHAnsi" w:hAnsiTheme="minorHAnsi"/>
          <w:sz w:val="24"/>
          <w:lang w:val="es-ES"/>
        </w:rPr>
        <w:t xml:space="preserve"> and </w:t>
      </w:r>
      <w:r w:rsidRPr="0024407A">
        <w:rPr>
          <w:rFonts w:asciiTheme="minorHAnsi" w:hAnsiTheme="minorHAnsi"/>
          <w:sz w:val="24"/>
          <w:lang w:val="es-ES"/>
        </w:rPr>
        <w:t>Jerónimo Agrisuelas Vallés</w:t>
      </w:r>
      <w:r w:rsidR="00EA28EA" w:rsidRPr="0024407A">
        <w:rPr>
          <w:rFonts w:asciiTheme="minorHAnsi" w:hAnsiTheme="minorHAnsi"/>
          <w:sz w:val="24"/>
          <w:lang w:val="es-ES"/>
        </w:rPr>
        <w:t xml:space="preserve">. </w:t>
      </w:r>
      <w:r w:rsidR="00EA28EA" w:rsidRPr="00EA28EA">
        <w:rPr>
          <w:rFonts w:asciiTheme="minorHAnsi" w:hAnsiTheme="minorHAnsi"/>
          <w:sz w:val="24"/>
          <w:lang w:val="en-GB"/>
        </w:rPr>
        <w:t xml:space="preserve">Laboratory of Electrochemistry, Department of Physical Chemistry. </w:t>
      </w:r>
      <w:r w:rsidR="00EA28EA" w:rsidRPr="007F018A">
        <w:rPr>
          <w:rFonts w:asciiTheme="minorHAnsi" w:hAnsiTheme="minorHAnsi"/>
          <w:sz w:val="24"/>
          <w:lang w:val="en-GB"/>
        </w:rPr>
        <w:t xml:space="preserve">University of Valencia. C/. Dr. Moliner, 50. 46100-Burjassot (Spain) </w:t>
      </w:r>
    </w:p>
    <w:p w:rsidR="00C54A2A" w:rsidRPr="00EA28EA" w:rsidRDefault="00EA28EA" w:rsidP="00FB6093">
      <w:pPr>
        <w:spacing w:after="120"/>
        <w:ind w:left="142"/>
        <w:jc w:val="both"/>
        <w:rPr>
          <w:rFonts w:asciiTheme="minorHAnsi" w:hAnsiTheme="minorHAnsi"/>
          <w:sz w:val="24"/>
          <w:lang w:val="en-GB"/>
        </w:rPr>
      </w:pPr>
      <w:r w:rsidRPr="00EA28EA">
        <w:rPr>
          <w:rFonts w:asciiTheme="minorHAnsi" w:hAnsiTheme="minorHAnsi"/>
          <w:i/>
          <w:lang w:val="en-GB"/>
        </w:rPr>
        <w:t xml:space="preserve">ACKNOWLEDGMENTS: </w:t>
      </w:r>
      <w:r w:rsidRPr="00D47C06">
        <w:rPr>
          <w:rFonts w:asciiTheme="minorHAnsi" w:hAnsiTheme="minorHAnsi"/>
          <w:lang w:val="en-GB"/>
        </w:rPr>
        <w:t>Part of this work has been supported by FEDER-CICyT CTQ2011-28973/BQU</w:t>
      </w:r>
      <w:r w:rsidRPr="00EA28EA">
        <w:rPr>
          <w:rFonts w:asciiTheme="minorHAnsi" w:hAnsiTheme="minorHAnsi"/>
          <w:i/>
          <w:lang w:val="en-GB"/>
        </w:rPr>
        <w:t>.</w:t>
      </w:r>
    </w:p>
    <w:p w:rsidR="00C54A2A" w:rsidRPr="00D65F10" w:rsidRDefault="00C54A2A" w:rsidP="00FB6093">
      <w:pPr>
        <w:spacing w:after="120"/>
        <w:ind w:left="142"/>
        <w:jc w:val="both"/>
        <w:rPr>
          <w:rFonts w:asciiTheme="minorHAnsi" w:hAnsiTheme="minorHAnsi"/>
          <w:b/>
          <w:sz w:val="24"/>
          <w:lang w:val="es-ES"/>
        </w:rPr>
      </w:pPr>
      <w:r w:rsidRPr="00D65F10">
        <w:rPr>
          <w:rFonts w:asciiTheme="minorHAnsi" w:hAnsiTheme="minorHAnsi"/>
          <w:b/>
          <w:sz w:val="24"/>
          <w:lang w:val="es-ES"/>
        </w:rPr>
        <w:t>REFERENCES</w:t>
      </w:r>
    </w:p>
    <w:p w:rsidR="00E76950" w:rsidRPr="00D65F10" w:rsidRDefault="0059648B" w:rsidP="00E76950">
      <w:pPr>
        <w:pStyle w:val="Bibliografa"/>
        <w:rPr>
          <w:rFonts w:ascii="Calibri" w:hAnsi="Calibri"/>
          <w:sz w:val="24"/>
          <w:lang w:val="es-ES"/>
        </w:rPr>
      </w:pPr>
      <w:r>
        <w:rPr>
          <w:rFonts w:asciiTheme="minorHAnsi" w:hAnsiTheme="minorHAnsi"/>
          <w:b/>
          <w:bCs/>
          <w:lang w:val="en-GB"/>
        </w:rPr>
        <w:fldChar w:fldCharType="begin"/>
      </w:r>
      <w:r w:rsidR="00E76950" w:rsidRPr="00E76950">
        <w:rPr>
          <w:rFonts w:asciiTheme="minorHAnsi" w:hAnsiTheme="minorHAnsi"/>
          <w:b/>
          <w:bCs/>
          <w:lang w:val="es-ES"/>
        </w:rPr>
        <w:instrText xml:space="preserve"> ADDIN ZOTERO_BIBL {"custom":[]} CSL_BIBLIOGRAPHY </w:instrText>
      </w:r>
      <w:r>
        <w:rPr>
          <w:rFonts w:asciiTheme="minorHAnsi" w:hAnsiTheme="minorHAnsi"/>
          <w:b/>
          <w:bCs/>
          <w:lang w:val="en-GB"/>
        </w:rPr>
        <w:fldChar w:fldCharType="separate"/>
      </w:r>
      <w:r w:rsidR="00E76950" w:rsidRPr="00E76950">
        <w:rPr>
          <w:rFonts w:ascii="Calibri" w:hAnsi="Calibri"/>
          <w:sz w:val="24"/>
          <w:lang w:val="es-ES"/>
        </w:rPr>
        <w:t>[1]</w:t>
      </w:r>
      <w:r w:rsidR="00E76950" w:rsidRPr="00E76950">
        <w:rPr>
          <w:rFonts w:ascii="Calibri" w:hAnsi="Calibri"/>
          <w:sz w:val="24"/>
          <w:lang w:val="es-ES"/>
        </w:rPr>
        <w:tab/>
        <w:t xml:space="preserve">J. Gregori, J.J. García-Jareño, F. Vicente. </w:t>
      </w:r>
      <w:r w:rsidR="00E76950" w:rsidRPr="00D65F10">
        <w:rPr>
          <w:rFonts w:ascii="Calibri" w:hAnsi="Calibri"/>
          <w:sz w:val="24"/>
          <w:lang w:val="es-ES"/>
        </w:rPr>
        <w:t xml:space="preserve">Electrochem. Commun. 8 (2006) 683–687. </w:t>
      </w:r>
    </w:p>
    <w:p w:rsidR="00E76950" w:rsidRPr="00E76950" w:rsidRDefault="00E76950" w:rsidP="00E76950">
      <w:pPr>
        <w:pStyle w:val="Bibliografa"/>
        <w:rPr>
          <w:rFonts w:ascii="Calibri" w:hAnsi="Calibri"/>
          <w:sz w:val="24"/>
        </w:rPr>
      </w:pPr>
      <w:r w:rsidRPr="00E76950">
        <w:rPr>
          <w:rFonts w:ascii="Calibri" w:hAnsi="Calibri"/>
          <w:sz w:val="24"/>
          <w:lang w:val="es-ES"/>
        </w:rPr>
        <w:t>[2]</w:t>
      </w:r>
      <w:r w:rsidRPr="00E76950">
        <w:rPr>
          <w:rFonts w:ascii="Calibri" w:hAnsi="Calibri"/>
          <w:sz w:val="24"/>
          <w:lang w:val="es-ES"/>
        </w:rPr>
        <w:tab/>
        <w:t xml:space="preserve">J. Agrisuelas, J.J. García-Jareño, D. Gimenez-Romero, F. Vicente. </w:t>
      </w:r>
      <w:r>
        <w:rPr>
          <w:rFonts w:ascii="Calibri" w:hAnsi="Calibri"/>
          <w:sz w:val="24"/>
        </w:rPr>
        <w:t>J. Phys. Chem. C. 113 (2009)</w:t>
      </w:r>
      <w:r w:rsidR="00D65F10">
        <w:rPr>
          <w:rFonts w:ascii="Calibri" w:hAnsi="Calibri"/>
          <w:sz w:val="24"/>
        </w:rPr>
        <w:t xml:space="preserve"> 8430-8437</w:t>
      </w:r>
      <w:r>
        <w:rPr>
          <w:rFonts w:ascii="Calibri" w:hAnsi="Calibri"/>
          <w:sz w:val="24"/>
        </w:rPr>
        <w:t>.</w:t>
      </w:r>
    </w:p>
    <w:p w:rsidR="00C54A2A" w:rsidRPr="007666FF" w:rsidRDefault="0059648B">
      <w:pPr>
        <w:jc w:val="both"/>
        <w:rPr>
          <w:rFonts w:asciiTheme="minorHAnsi" w:hAnsiTheme="minorHAnsi"/>
          <w:b/>
          <w:bCs/>
          <w:sz w:val="24"/>
          <w:lang w:val="en-GB"/>
        </w:rPr>
      </w:pPr>
      <w:r>
        <w:rPr>
          <w:rFonts w:asciiTheme="minorHAnsi" w:hAnsiTheme="minorHAnsi"/>
          <w:b/>
          <w:bCs/>
          <w:sz w:val="24"/>
          <w:lang w:val="en-GB"/>
        </w:rPr>
        <w:fldChar w:fldCharType="end"/>
      </w:r>
    </w:p>
    <w:p w:rsidR="00761A6B" w:rsidRPr="007666FF" w:rsidRDefault="003376C0">
      <w:pPr>
        <w:jc w:val="both"/>
        <w:rPr>
          <w:rFonts w:asciiTheme="minorHAnsi" w:hAnsiTheme="minorHAnsi"/>
          <w:sz w:val="24"/>
          <w:lang w:val="en-GB"/>
        </w:rPr>
      </w:pPr>
      <w:r w:rsidRPr="007666FF">
        <w:rPr>
          <w:rFonts w:asciiTheme="minorHAnsi" w:hAnsiTheme="minorHAnsi"/>
          <w:b/>
          <w:bCs/>
          <w:i/>
          <w:sz w:val="24"/>
          <w:lang w:val="en-GB"/>
        </w:rPr>
        <w:t>Key</w:t>
      </w:r>
      <w:r w:rsidR="00AE2A95" w:rsidRPr="007666FF">
        <w:rPr>
          <w:rFonts w:asciiTheme="minorHAnsi" w:hAnsiTheme="minorHAnsi"/>
          <w:b/>
          <w:bCs/>
          <w:i/>
          <w:sz w:val="24"/>
          <w:lang w:val="en-GB"/>
        </w:rPr>
        <w:t>words</w:t>
      </w:r>
      <w:r w:rsidR="00EC099B" w:rsidRPr="007666FF">
        <w:rPr>
          <w:rFonts w:asciiTheme="minorHAnsi" w:hAnsiTheme="minorHAnsi"/>
          <w:b/>
          <w:bCs/>
          <w:sz w:val="24"/>
          <w:lang w:val="en-GB"/>
        </w:rPr>
        <w:t>:</w:t>
      </w:r>
      <w:r w:rsidR="00EC099B" w:rsidRPr="007666FF">
        <w:rPr>
          <w:rFonts w:asciiTheme="minorHAnsi" w:hAnsiTheme="minorHAnsi"/>
          <w:sz w:val="24"/>
          <w:lang w:val="en-GB"/>
        </w:rPr>
        <w:t xml:space="preserve"> </w:t>
      </w:r>
      <w:r w:rsidR="00834CB8" w:rsidRPr="007666FF">
        <w:rPr>
          <w:rFonts w:asciiTheme="minorHAnsi" w:hAnsiTheme="minorHAnsi"/>
          <w:sz w:val="24"/>
          <w:lang w:val="en-GB"/>
        </w:rPr>
        <w:t>Copper, Interfacial Region, Transfer Function, EQCM-R, Impedance.</w:t>
      </w:r>
    </w:p>
    <w:sectPr w:rsidR="00761A6B" w:rsidRPr="007666FF" w:rsidSect="00EA28EA">
      <w:type w:val="continuous"/>
      <w:pgSz w:w="11907" w:h="16840" w:code="9"/>
      <w:pgMar w:top="1701" w:right="1701" w:bottom="1701"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377F" w:rsidRDefault="00C5377F">
      <w:r>
        <w:separator/>
      </w:r>
    </w:p>
  </w:endnote>
  <w:endnote w:type="continuationSeparator" w:id="0">
    <w:p w:rsidR="00C5377F" w:rsidRDefault="00C53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A6B" w:rsidRPr="00761A6B" w:rsidRDefault="00761A6B" w:rsidP="00AA4C4D">
    <w:pPr>
      <w:pStyle w:val="Piedepgina"/>
      <w:pBdr>
        <w:top w:val="single" w:sz="4" w:space="1" w:color="auto"/>
      </w:pBdr>
      <w:rPr>
        <w:rFonts w:asciiTheme="majorHAnsi" w:hAnsiTheme="majorHAnsi"/>
        <w:lang w:val="es-ES"/>
      </w:rPr>
    </w:pPr>
    <w:r w:rsidRPr="00761A6B">
      <w:rPr>
        <w:rFonts w:asciiTheme="majorHAnsi" w:hAnsiTheme="majorHAnsi"/>
        <w:lang w:val="es-ES"/>
      </w:rPr>
      <w:ptab w:relativeTo="margin" w:alignment="center" w:leader="none"/>
    </w:r>
    <w:r w:rsidRPr="00761A6B">
      <w:rPr>
        <w:rFonts w:asciiTheme="majorHAnsi" w:hAnsiTheme="majorHAnsi"/>
        <w:lang w:val="es-ES"/>
      </w:rPr>
      <w:ptab w:relativeTo="margin" w:alignment="right" w:leader="none"/>
    </w:r>
    <w:r w:rsidRPr="00761A6B">
      <w:rPr>
        <w:rFonts w:asciiTheme="majorHAnsi" w:eastAsiaTheme="majorEastAsia" w:hAnsiTheme="majorHAnsi" w:cstheme="majorBidi"/>
        <w:sz w:val="28"/>
        <w:szCs w:val="28"/>
        <w:lang w:val="es-ES"/>
      </w:rPr>
      <w:t xml:space="preserve">p. </w:t>
    </w:r>
    <w:r w:rsidR="00B5784D" w:rsidRPr="00761A6B">
      <w:rPr>
        <w:rFonts w:asciiTheme="majorHAnsi" w:eastAsiaTheme="minorEastAsia" w:hAnsiTheme="majorHAnsi" w:cstheme="minorBidi"/>
        <w:sz w:val="22"/>
        <w:szCs w:val="22"/>
        <w:lang w:val="es-ES"/>
      </w:rPr>
      <w:fldChar w:fldCharType="begin"/>
    </w:r>
    <w:r w:rsidRPr="00123F69">
      <w:rPr>
        <w:rFonts w:asciiTheme="majorHAnsi" w:hAnsiTheme="majorHAnsi"/>
        <w:lang w:val="es-ES"/>
      </w:rPr>
      <w:instrText>PAGE    \* MERGEFORMAT</w:instrText>
    </w:r>
    <w:r w:rsidR="00B5784D" w:rsidRPr="00761A6B">
      <w:rPr>
        <w:rFonts w:asciiTheme="majorHAnsi" w:eastAsiaTheme="minorEastAsia" w:hAnsiTheme="majorHAnsi" w:cstheme="minorBidi"/>
        <w:sz w:val="22"/>
        <w:szCs w:val="22"/>
        <w:lang w:val="es-ES"/>
      </w:rPr>
      <w:fldChar w:fldCharType="separate"/>
    </w:r>
    <w:r w:rsidR="00D65F10" w:rsidRPr="00D65F10">
      <w:rPr>
        <w:rFonts w:asciiTheme="majorHAnsi" w:eastAsiaTheme="majorEastAsia" w:hAnsiTheme="majorHAnsi" w:cstheme="majorBidi"/>
        <w:noProof/>
        <w:sz w:val="28"/>
        <w:szCs w:val="28"/>
        <w:lang w:val="es-ES"/>
      </w:rPr>
      <w:t>1</w:t>
    </w:r>
    <w:r w:rsidR="00B5784D" w:rsidRPr="00761A6B">
      <w:rPr>
        <w:rFonts w:asciiTheme="majorHAnsi" w:eastAsiaTheme="majorEastAsia" w:hAnsiTheme="majorHAnsi" w:cstheme="majorBidi"/>
        <w:sz w:val="28"/>
        <w:szCs w:val="28"/>
        <w:lang w:val="es-E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377F" w:rsidRDefault="00C5377F">
      <w:r>
        <w:separator/>
      </w:r>
    </w:p>
  </w:footnote>
  <w:footnote w:type="continuationSeparator" w:id="0">
    <w:p w:rsidR="00C5377F" w:rsidRDefault="00C537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7"/>
      <w:gridCol w:w="5121"/>
      <w:gridCol w:w="1407"/>
    </w:tblGrid>
    <w:tr w:rsidR="00CB2994" w:rsidTr="00CB2994">
      <w:tc>
        <w:tcPr>
          <w:tcW w:w="1967" w:type="dxa"/>
        </w:tcPr>
        <w:p w:rsidR="00CB2994" w:rsidRDefault="00CB2994" w:rsidP="00CB2994">
          <w:pPr>
            <w:pStyle w:val="Encabezado"/>
            <w:tabs>
              <w:tab w:val="clear" w:pos="4252"/>
              <w:tab w:val="left" w:pos="4253"/>
              <w:tab w:val="center" w:pos="4395"/>
            </w:tabs>
            <w:spacing w:line="276" w:lineRule="auto"/>
            <w:rPr>
              <w:rFonts w:asciiTheme="majorHAnsi" w:hAnsiTheme="majorHAnsi"/>
              <w:sz w:val="24"/>
              <w:lang w:val="pt-PT"/>
            </w:rPr>
          </w:pPr>
          <w:r w:rsidRPr="00CB2994">
            <w:rPr>
              <w:rFonts w:asciiTheme="majorHAnsi" w:hAnsiTheme="majorHAnsi"/>
              <w:noProof/>
              <w:sz w:val="24"/>
              <w:lang w:val="en-GB" w:eastAsia="en-GB"/>
            </w:rPr>
            <w:drawing>
              <wp:inline distT="0" distB="0" distL="0" distR="0" wp14:anchorId="27BEE772" wp14:editId="61C1D7C8">
                <wp:extent cx="1056342" cy="569327"/>
                <wp:effectExtent l="0" t="0" r="0" b="2540"/>
                <wp:docPr id="5" name="Imaxe 2" descr="Logo XXXVI Reunión del grupo de electroquím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XXXVI Reunión del grupo de electroquími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233" cy="583820"/>
                        </a:xfrm>
                        <a:prstGeom prst="rect">
                          <a:avLst/>
                        </a:prstGeom>
                        <a:noFill/>
                        <a:ln>
                          <a:noFill/>
                        </a:ln>
                      </pic:spPr>
                    </pic:pic>
                  </a:graphicData>
                </a:graphic>
              </wp:inline>
            </w:drawing>
          </w:r>
        </w:p>
      </w:tc>
      <w:tc>
        <w:tcPr>
          <w:tcW w:w="5121" w:type="dxa"/>
          <w:vAlign w:val="center"/>
        </w:tcPr>
        <w:p w:rsidR="00CB2994" w:rsidRPr="00AA4C4D" w:rsidRDefault="00CB2994" w:rsidP="00CB2994">
          <w:pPr>
            <w:pStyle w:val="Encabezado"/>
            <w:tabs>
              <w:tab w:val="clear" w:pos="4252"/>
              <w:tab w:val="left" w:pos="4253"/>
              <w:tab w:val="center" w:pos="4395"/>
            </w:tabs>
            <w:spacing w:line="360" w:lineRule="auto"/>
            <w:rPr>
              <w:rFonts w:ascii="Lucida Calligraphy" w:hAnsi="Lucida Calligraphy"/>
              <w:b/>
              <w:color w:val="808080" w:themeColor="background1" w:themeShade="80"/>
              <w:lang w:val="pt-PT"/>
            </w:rPr>
          </w:pPr>
          <w:r w:rsidRPr="00AA4C4D">
            <w:rPr>
              <w:rFonts w:ascii="Lucida Calligraphy" w:hAnsi="Lucida Calligraphy"/>
              <w:b/>
              <w:color w:val="808080" w:themeColor="background1" w:themeShade="80"/>
              <w:lang w:val="pt-PT"/>
            </w:rPr>
            <w:t xml:space="preserve">XXXVI Reunión </w:t>
          </w:r>
          <w:r w:rsidR="00AA4C4D" w:rsidRPr="00AA4C4D">
            <w:rPr>
              <w:rFonts w:ascii="Lucida Calligraphy" w:hAnsi="Lucida Calligraphy"/>
              <w:b/>
              <w:color w:val="808080" w:themeColor="background1" w:themeShade="80"/>
              <w:lang w:val="pt-PT"/>
            </w:rPr>
            <w:t xml:space="preserve">del </w:t>
          </w:r>
          <w:r w:rsidRPr="00AA4C4D">
            <w:rPr>
              <w:rFonts w:ascii="Lucida Calligraphy" w:hAnsi="Lucida Calligraphy"/>
              <w:b/>
              <w:color w:val="808080" w:themeColor="background1" w:themeShade="80"/>
              <w:lang w:val="pt-PT"/>
            </w:rPr>
            <w:t xml:space="preserve">Grupo </w:t>
          </w:r>
          <w:r w:rsidR="00AA4C4D" w:rsidRPr="00AA4C4D">
            <w:rPr>
              <w:rFonts w:ascii="Lucida Calligraphy" w:hAnsi="Lucida Calligraphy"/>
              <w:b/>
              <w:color w:val="808080" w:themeColor="background1" w:themeShade="80"/>
              <w:lang w:val="pt-PT"/>
            </w:rPr>
            <w:t xml:space="preserve">de </w:t>
          </w:r>
          <w:r w:rsidRPr="00AA4C4D">
            <w:rPr>
              <w:rFonts w:ascii="Lucida Calligraphy" w:hAnsi="Lucida Calligraphy"/>
              <w:b/>
              <w:color w:val="808080" w:themeColor="background1" w:themeShade="80"/>
              <w:lang w:val="pt-PT"/>
            </w:rPr>
            <w:t xml:space="preserve">Electroquímica </w:t>
          </w:r>
        </w:p>
        <w:p w:rsidR="00CB2994" w:rsidRPr="00AA4C4D" w:rsidRDefault="00CB2994" w:rsidP="005B6B45">
          <w:pPr>
            <w:pStyle w:val="Encabezado"/>
            <w:tabs>
              <w:tab w:val="clear" w:pos="4252"/>
              <w:tab w:val="left" w:pos="4253"/>
              <w:tab w:val="center" w:pos="4395"/>
            </w:tabs>
            <w:rPr>
              <w:rFonts w:asciiTheme="majorHAnsi" w:hAnsiTheme="majorHAnsi"/>
              <w:color w:val="808080" w:themeColor="background1" w:themeShade="80"/>
              <w:sz w:val="24"/>
              <w:lang w:val="pt-PT"/>
            </w:rPr>
          </w:pPr>
          <w:r w:rsidRPr="00AA4C4D">
            <w:rPr>
              <w:rFonts w:ascii="Lucida Calligraphy" w:hAnsi="Lucida Calligraphy"/>
              <w:b/>
              <w:color w:val="808080" w:themeColor="background1" w:themeShade="80"/>
              <w:lang w:val="pt-PT"/>
            </w:rPr>
            <w:t>XVII Encontro Ibérico de Electroquímica</w:t>
          </w:r>
        </w:p>
      </w:tc>
      <w:tc>
        <w:tcPr>
          <w:tcW w:w="1407" w:type="dxa"/>
          <w:vAlign w:val="center"/>
        </w:tcPr>
        <w:p w:rsidR="00CB2994" w:rsidRPr="00AA4C4D" w:rsidRDefault="00CB2994" w:rsidP="00CB2994">
          <w:pPr>
            <w:pStyle w:val="Encabezado"/>
            <w:tabs>
              <w:tab w:val="clear" w:pos="4252"/>
              <w:tab w:val="left" w:pos="4253"/>
              <w:tab w:val="center" w:pos="4395"/>
            </w:tabs>
            <w:jc w:val="center"/>
            <w:rPr>
              <w:rFonts w:asciiTheme="majorHAnsi" w:hAnsiTheme="majorHAnsi"/>
              <w:b/>
              <w:color w:val="538135" w:themeColor="accent6" w:themeShade="BF"/>
              <w:sz w:val="28"/>
              <w:szCs w:val="28"/>
              <w:lang w:val="pt-PT"/>
            </w:rPr>
          </w:pPr>
          <w:r w:rsidRPr="00AA4C4D">
            <w:rPr>
              <w:rFonts w:asciiTheme="majorHAnsi" w:hAnsiTheme="majorHAnsi"/>
              <w:b/>
              <w:color w:val="538135" w:themeColor="accent6" w:themeShade="BF"/>
              <w:sz w:val="28"/>
              <w:szCs w:val="28"/>
              <w:lang w:val="pt-PT"/>
            </w:rPr>
            <w:t>Vigo</w:t>
          </w:r>
        </w:p>
        <w:p w:rsidR="00CB2994" w:rsidRPr="00AA4C4D" w:rsidRDefault="00CB2994" w:rsidP="00CB2994">
          <w:pPr>
            <w:pStyle w:val="Encabezado"/>
            <w:tabs>
              <w:tab w:val="clear" w:pos="4252"/>
              <w:tab w:val="left" w:pos="4253"/>
              <w:tab w:val="center" w:pos="4395"/>
            </w:tabs>
            <w:jc w:val="center"/>
            <w:rPr>
              <w:rFonts w:asciiTheme="majorHAnsi" w:hAnsiTheme="majorHAnsi"/>
              <w:b/>
              <w:color w:val="538135" w:themeColor="accent6" w:themeShade="BF"/>
              <w:sz w:val="24"/>
              <w:lang w:val="pt-PT"/>
            </w:rPr>
          </w:pPr>
          <w:r w:rsidRPr="00AA4C4D">
            <w:rPr>
              <w:rFonts w:asciiTheme="majorHAnsi" w:hAnsiTheme="majorHAnsi"/>
              <w:b/>
              <w:color w:val="538135" w:themeColor="accent6" w:themeShade="BF"/>
              <w:sz w:val="24"/>
              <w:lang w:val="pt-PT"/>
            </w:rPr>
            <w:t>13-15 / Julio</w:t>
          </w:r>
        </w:p>
        <w:p w:rsidR="00CB2994" w:rsidRDefault="00CB2994" w:rsidP="00CB2994">
          <w:pPr>
            <w:pStyle w:val="Encabezado"/>
            <w:tabs>
              <w:tab w:val="clear" w:pos="4252"/>
              <w:tab w:val="left" w:pos="4253"/>
              <w:tab w:val="center" w:pos="4395"/>
            </w:tabs>
            <w:jc w:val="center"/>
            <w:rPr>
              <w:rFonts w:asciiTheme="majorHAnsi" w:hAnsiTheme="majorHAnsi"/>
              <w:sz w:val="24"/>
              <w:lang w:val="pt-PT"/>
            </w:rPr>
          </w:pPr>
          <w:r w:rsidRPr="00AA4C4D">
            <w:rPr>
              <w:rFonts w:asciiTheme="majorHAnsi" w:hAnsiTheme="majorHAnsi"/>
              <w:b/>
              <w:color w:val="538135" w:themeColor="accent6" w:themeShade="BF"/>
              <w:sz w:val="24"/>
              <w:lang w:val="pt-PT"/>
            </w:rPr>
            <w:t>2015</w:t>
          </w:r>
        </w:p>
      </w:tc>
    </w:tr>
  </w:tbl>
  <w:p w:rsidR="005B6B45" w:rsidRPr="00CB2994" w:rsidRDefault="005B6B45" w:rsidP="002D1518">
    <w:pPr>
      <w:pStyle w:val="Encabezado"/>
      <w:pBdr>
        <w:top w:val="single" w:sz="4" w:space="1" w:color="auto"/>
      </w:pBdr>
      <w:spacing w:line="480" w:lineRule="auto"/>
      <w:rPr>
        <w:rFonts w:asciiTheme="majorHAnsi" w:hAnsiTheme="majorHAnsi"/>
        <w:sz w:val="16"/>
        <w:szCs w:val="16"/>
        <w:lang w:val="pt-P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C7A4E"/>
    <w:rsid w:val="0000668F"/>
    <w:rsid w:val="00020BC3"/>
    <w:rsid w:val="00037915"/>
    <w:rsid w:val="000609D8"/>
    <w:rsid w:val="0007035D"/>
    <w:rsid w:val="00084B67"/>
    <w:rsid w:val="000868A3"/>
    <w:rsid w:val="00123F69"/>
    <w:rsid w:val="00127BA7"/>
    <w:rsid w:val="00143626"/>
    <w:rsid w:val="001A6E6F"/>
    <w:rsid w:val="001D7E88"/>
    <w:rsid w:val="00202875"/>
    <w:rsid w:val="00203491"/>
    <w:rsid w:val="0024407A"/>
    <w:rsid w:val="00247CD2"/>
    <w:rsid w:val="0029085D"/>
    <w:rsid w:val="002D1518"/>
    <w:rsid w:val="002D3067"/>
    <w:rsid w:val="002E2D9B"/>
    <w:rsid w:val="00304F68"/>
    <w:rsid w:val="00336B5D"/>
    <w:rsid w:val="003376C0"/>
    <w:rsid w:val="0036708A"/>
    <w:rsid w:val="003B21EA"/>
    <w:rsid w:val="003E49EB"/>
    <w:rsid w:val="003E5FA0"/>
    <w:rsid w:val="003F64E0"/>
    <w:rsid w:val="004046B1"/>
    <w:rsid w:val="00477541"/>
    <w:rsid w:val="005200CE"/>
    <w:rsid w:val="00565C96"/>
    <w:rsid w:val="00567107"/>
    <w:rsid w:val="00580FCC"/>
    <w:rsid w:val="0059648B"/>
    <w:rsid w:val="005B6B45"/>
    <w:rsid w:val="005C239F"/>
    <w:rsid w:val="005C34DC"/>
    <w:rsid w:val="0068256B"/>
    <w:rsid w:val="00683CC9"/>
    <w:rsid w:val="00686736"/>
    <w:rsid w:val="0072427B"/>
    <w:rsid w:val="00733CC7"/>
    <w:rsid w:val="007379A4"/>
    <w:rsid w:val="00761A6B"/>
    <w:rsid w:val="00762E10"/>
    <w:rsid w:val="007666FF"/>
    <w:rsid w:val="00766762"/>
    <w:rsid w:val="00772B69"/>
    <w:rsid w:val="007B29A5"/>
    <w:rsid w:val="007D2205"/>
    <w:rsid w:val="007E02E4"/>
    <w:rsid w:val="007F018A"/>
    <w:rsid w:val="00825387"/>
    <w:rsid w:val="00831359"/>
    <w:rsid w:val="00834CB8"/>
    <w:rsid w:val="00863D84"/>
    <w:rsid w:val="00881797"/>
    <w:rsid w:val="008A56A4"/>
    <w:rsid w:val="008A7E5C"/>
    <w:rsid w:val="008E5735"/>
    <w:rsid w:val="00923B53"/>
    <w:rsid w:val="009918CD"/>
    <w:rsid w:val="009934AC"/>
    <w:rsid w:val="009C356C"/>
    <w:rsid w:val="009D613A"/>
    <w:rsid w:val="00A56486"/>
    <w:rsid w:val="00A67F86"/>
    <w:rsid w:val="00AA4C4D"/>
    <w:rsid w:val="00AB0200"/>
    <w:rsid w:val="00AB661D"/>
    <w:rsid w:val="00AC26BC"/>
    <w:rsid w:val="00AE2A95"/>
    <w:rsid w:val="00AE2F26"/>
    <w:rsid w:val="00B5784D"/>
    <w:rsid w:val="00B608AE"/>
    <w:rsid w:val="00B6663F"/>
    <w:rsid w:val="00BA62A0"/>
    <w:rsid w:val="00BA72B5"/>
    <w:rsid w:val="00BD00EC"/>
    <w:rsid w:val="00C32CE8"/>
    <w:rsid w:val="00C5377F"/>
    <w:rsid w:val="00C54A2A"/>
    <w:rsid w:val="00CB2994"/>
    <w:rsid w:val="00CE31D8"/>
    <w:rsid w:val="00D41BD3"/>
    <w:rsid w:val="00D47C06"/>
    <w:rsid w:val="00D65F10"/>
    <w:rsid w:val="00DC2D5C"/>
    <w:rsid w:val="00DC7A4E"/>
    <w:rsid w:val="00DD4B51"/>
    <w:rsid w:val="00E01A28"/>
    <w:rsid w:val="00E13DBB"/>
    <w:rsid w:val="00E6580B"/>
    <w:rsid w:val="00E76950"/>
    <w:rsid w:val="00EA28EA"/>
    <w:rsid w:val="00EC099B"/>
    <w:rsid w:val="00F51426"/>
    <w:rsid w:val="00F90D3F"/>
    <w:rsid w:val="00F9269D"/>
    <w:rsid w:val="00F949F6"/>
    <w:rsid w:val="00FB6093"/>
    <w:rsid w:val="00FE47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8F65EC-28A2-4C48-909B-1FFB7CA06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gl-ES" w:eastAsia="gl-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84D"/>
    <w:rPr>
      <w:lang w:val="en-US" w:eastAsia="en-US"/>
    </w:rPr>
  </w:style>
  <w:style w:type="paragraph" w:styleId="Ttulo1">
    <w:name w:val="heading 1"/>
    <w:basedOn w:val="Normal"/>
    <w:next w:val="Normal"/>
    <w:qFormat/>
    <w:rsid w:val="00B5784D"/>
    <w:pPr>
      <w:keepNext/>
      <w:jc w:val="both"/>
      <w:outlineLvl w:val="0"/>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B5784D"/>
    <w:pPr>
      <w:tabs>
        <w:tab w:val="center" w:pos="4252"/>
        <w:tab w:val="right" w:pos="8504"/>
      </w:tabs>
    </w:pPr>
  </w:style>
  <w:style w:type="paragraph" w:styleId="Piedepgina">
    <w:name w:val="footer"/>
    <w:basedOn w:val="Normal"/>
    <w:rsid w:val="00B5784D"/>
    <w:pPr>
      <w:tabs>
        <w:tab w:val="center" w:pos="4252"/>
        <w:tab w:val="right" w:pos="8504"/>
      </w:tabs>
    </w:pPr>
  </w:style>
  <w:style w:type="paragraph" w:styleId="Puesto">
    <w:name w:val="Title"/>
    <w:basedOn w:val="Normal"/>
    <w:qFormat/>
    <w:rsid w:val="00B5784D"/>
    <w:pPr>
      <w:jc w:val="center"/>
    </w:pPr>
    <w:rPr>
      <w:b/>
      <w:bCs/>
      <w:sz w:val="28"/>
    </w:rPr>
  </w:style>
  <w:style w:type="character" w:styleId="Hipervnculo">
    <w:name w:val="Hyperlink"/>
    <w:basedOn w:val="Fuentedeprrafopredeter"/>
    <w:rsid w:val="00762E10"/>
    <w:rPr>
      <w:color w:val="0563C1" w:themeColor="hyperlink"/>
      <w:u w:val="single"/>
    </w:rPr>
  </w:style>
  <w:style w:type="table" w:styleId="Tablaconcuadrcula">
    <w:name w:val="Table Grid"/>
    <w:basedOn w:val="Tablanormal"/>
    <w:rsid w:val="00CB29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E13DBB"/>
    <w:rPr>
      <w:rFonts w:ascii="Tahoma" w:hAnsi="Tahoma" w:cs="Tahoma"/>
      <w:sz w:val="16"/>
      <w:szCs w:val="16"/>
    </w:rPr>
  </w:style>
  <w:style w:type="character" w:customStyle="1" w:styleId="TextodegloboCar">
    <w:name w:val="Texto de globo Car"/>
    <w:basedOn w:val="Fuentedeprrafopredeter"/>
    <w:link w:val="Textodeglobo"/>
    <w:rsid w:val="00E13DBB"/>
    <w:rPr>
      <w:rFonts w:ascii="Tahoma" w:hAnsi="Tahoma" w:cs="Tahoma"/>
      <w:sz w:val="16"/>
      <w:szCs w:val="16"/>
      <w:lang w:val="en-US" w:eastAsia="en-US"/>
    </w:rPr>
  </w:style>
  <w:style w:type="paragraph" w:styleId="Bibliografa">
    <w:name w:val="Bibliography"/>
    <w:basedOn w:val="Normal"/>
    <w:next w:val="Normal"/>
    <w:uiPriority w:val="37"/>
    <w:unhideWhenUsed/>
    <w:rsid w:val="0059648B"/>
    <w:pPr>
      <w:tabs>
        <w:tab w:val="left" w:pos="384"/>
      </w:tabs>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ettings" Target="settings.xml"/><Relationship Id="rId7" Type="http://schemas.openxmlformats.org/officeDocument/2006/relationships/hyperlink" Target="mailto:acueng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D45077-E702-4802-B84D-ACC5DAAA8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842</Words>
  <Characters>4806</Characters>
  <Application>Microsoft Office Word</Application>
  <DocSecurity>0</DocSecurity>
  <Lines>40</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Title</vt:lpstr>
    </vt:vector>
  </TitlesOfParts>
  <Company>UPV</Company>
  <LinksUpToDate>false</LinksUpToDate>
  <CharactersWithSpaces>5637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Ramón Nóvoa</dc:creator>
  <cp:lastModifiedBy>RAQUEL</cp:lastModifiedBy>
  <cp:revision>3</cp:revision>
  <dcterms:created xsi:type="dcterms:W3CDTF">2015-05-29T11:46:00Z</dcterms:created>
  <dcterms:modified xsi:type="dcterms:W3CDTF">2015-05-29T11:49:00Z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zotero-version="4.0.26.4"&gt;&lt;session id="p2JEY2Fb"/&gt;&lt;style id="http://www.zotero.org/styles/electrochimica-acta" hasBibliography="1" bibliographyStyleHasBeenSet="1"/&gt;&lt;prefs&gt;&lt;pref name="fieldType" value="Field"/&gt;&lt;pref name="storeRefere</vt:lpwstr>
  </property>
  <property fmtid="{D5CDD505-2E9C-101B-9397-08002B2CF9AE}" pid="3" name="ZOTERO_PREF_2">
    <vt:lpwstr>nces" value="true"/&gt;&lt;pref name="automaticJournalAbbreviations" value="true"/&gt;&lt;pref name="noteType" value="0"/&gt;&lt;/prefs&gt;&lt;/data&gt;</vt:lpwstr>
  </property>
</Properties>
</file>